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ackground w:color="FFFFFF">
    <v:background id="_x0000_s1025" fillcolor="#FFFFFF"/>
  </w:background>
  <w:body>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314"/>
      </w:tblGrid>
      <w:tr>
        <w:trPr/>
        <w:tc>
          <w:tcPr>
            <w:tcBorders>
              <w:top w:val="single" w:color="000000" w:sz="4" w:space="0"/>
              <w:left w:val="single" w:color="000000" w:sz="4" w:space="0"/>
              <w:bottom w:val="single" w:color="000000" w:sz="4" w:space="0"/>
              <w:right w:val="single" w:color="000000" w:sz="4" w:space="0"/>
            </w:tcBorders>
            <w:tcW w:w="10314" w:type="dxa"/>
            <w:vAlign w:val="top"/>
            <w:textDirection w:val="lrTb"/>
            <w:noWrap w:val="false"/>
          </w:tcPr>
          <w:p>
            <w:pPr>
              <w:pStyle w:val="828"/>
              <w:pBdr/>
              <w:spacing/>
              <w:ind/>
              <w:rPr>
                <w:rFonts w:ascii="Arial" w:hAnsi="Arial" w:cs="Arial"/>
                <w:b/>
              </w:rPr>
            </w:pPr>
            <w:r>
              <w:rPr>
                <w:rFonts w:ascii="Arial" w:hAnsi="Arial" w:cs="Arial"/>
                <w:b/>
              </w:rPr>
            </w:r>
            <w:r>
              <w:rPr>
                <w:rFonts w:ascii="Arial" w:hAnsi="Arial" w:cs="Arial"/>
                <w:b/>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6"/>
            </w:tblGrid>
            <w:tr>
              <w:trPr>
                <w:trHeight w:val="181"/>
              </w:trPr>
              <w:tc>
                <w:tcPr>
                  <w:tcBorders>
                    <w:top w:val="single" w:color="000000" w:sz="4" w:space="0"/>
                    <w:left w:val="single" w:color="000000" w:sz="4" w:space="0"/>
                    <w:bottom w:val="single" w:color="000000" w:sz="4" w:space="0"/>
                    <w:right w:val="single" w:color="000000" w:sz="4" w:space="0"/>
                  </w:tcBorders>
                  <w:tcW w:w="10056" w:type="dxa"/>
                  <w:vAlign w:val="top"/>
                  <w:textDirection w:val="lrTb"/>
                  <w:noWrap w:val="false"/>
                </w:tcPr>
                <w:p>
                  <w:pPr>
                    <w:pStyle w:val="828"/>
                    <w:pBdr/>
                    <w:spacing/>
                    <w:ind/>
                    <w:jc w:val="center"/>
                    <w:rPr>
                      <w:rFonts w:ascii="Arial" w:hAnsi="Arial" w:cs="Arial"/>
                      <w:b/>
                    </w:rPr>
                  </w:pPr>
                  <w:r>
                    <w:rPr>
                      <w:rFonts w:ascii="Arial" w:hAnsi="Arial" w:cs="Arial"/>
                      <w:b/>
                    </w:rPr>
                    <w:t xml:space="preserve">PREGÃO ELETRÔNICO </w:t>
                  </w:r>
                  <w:r>
                    <w:rPr>
                      <w:rFonts w:ascii="Arial" w:hAnsi="Arial" w:cs="Arial"/>
                      <w:b/>
                    </w:rPr>
                    <w:t xml:space="preserve">N.º </w:t>
                  </w:r>
                  <w:r>
                    <w:rPr>
                      <w:rFonts w:ascii="Arial" w:hAnsi="Arial" w:cs="Arial"/>
                      <w:b/>
                    </w:rPr>
                    <w:t xml:space="preserve">2</w:t>
                  </w:r>
                  <w:r>
                    <w:rPr>
                      <w:rFonts w:ascii="Arial" w:hAnsi="Arial" w:cs="Arial"/>
                      <w:b/>
                    </w:rPr>
                    <w:t xml:space="preserve">2</w:t>
                  </w:r>
                  <w:r>
                    <w:rPr>
                      <w:rFonts w:ascii="Arial" w:hAnsi="Arial" w:cs="Arial"/>
                      <w:b/>
                    </w:rPr>
                    <w:t xml:space="preserve">/2026</w:t>
                  </w:r>
                  <w:r>
                    <w:rPr>
                      <w:rFonts w:ascii="Arial" w:hAnsi="Arial" w:cs="Arial"/>
                      <w:b/>
                    </w:rPr>
                  </w:r>
                  <w:r>
                    <w:rPr>
                      <w:rFonts w:ascii="Arial" w:hAnsi="Arial" w:cs="Arial"/>
                      <w:b/>
                    </w:rPr>
                  </w:r>
                </w:p>
                <w:p>
                  <w:pPr>
                    <w:pStyle w:val="828"/>
                    <w:pBdr/>
                    <w:spacing/>
                    <w:ind/>
                    <w:jc w:val="center"/>
                    <w:rPr>
                      <w:rFonts w:ascii="Arial" w:hAnsi="Arial" w:cs="Arial"/>
                      <w:b/>
                    </w:rPr>
                  </w:pPr>
                  <w:r>
                    <w:rPr>
                      <w:rFonts w:ascii="Arial" w:hAnsi="Arial" w:cs="Arial"/>
                      <w:b/>
                    </w:rPr>
                    <w:t xml:space="preserve">Processo n.º </w:t>
                  </w:r>
                  <w:r>
                    <w:rPr>
                      <w:rFonts w:ascii="Arial" w:hAnsi="Arial" w:cs="Arial"/>
                      <w:b/>
                    </w:rPr>
                    <w:t xml:space="preserve">146/2026</w:t>
                  </w:r>
                  <w:r>
                    <w:rPr>
                      <w:rFonts w:ascii="Arial" w:hAnsi="Arial" w:cs="Arial"/>
                      <w:b/>
                    </w:rPr>
                  </w:r>
                  <w:r>
                    <w:rPr>
                      <w:rFonts w:ascii="Arial" w:hAnsi="Arial" w:cs="Arial"/>
                      <w:b/>
                    </w:rPr>
                  </w:r>
                </w:p>
              </w:tc>
            </w:tr>
          </w:tbl>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tc>
      </w:tr>
    </w:tbl>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281"/>
      </w:tblGrid>
      <w:tr>
        <w:trPr/>
        <w:tc>
          <w:tcPr>
            <w:tcBorders>
              <w:top w:val="single" w:color="000000" w:sz="4" w:space="0"/>
              <w:left w:val="single" w:color="000000" w:sz="4" w:space="0"/>
              <w:bottom w:val="single" w:color="000000" w:sz="4" w:space="0"/>
              <w:right w:val="single" w:color="000000" w:sz="4" w:space="0"/>
            </w:tcBorders>
            <w:tcW w:w="10281" w:type="dxa"/>
            <w:vAlign w:val="top"/>
            <w:textDirection w:val="lrTb"/>
            <w:noWrap w:val="false"/>
          </w:tcPr>
          <w:p>
            <w:pPr>
              <w:pStyle w:val="828"/>
              <w:pBdr/>
              <w:spacing/>
              <w:ind/>
              <w:jc w:val="both"/>
              <w:rPr>
                <w:rFonts w:ascii="Arial" w:hAnsi="Arial" w:cs="Arial"/>
              </w:rPr>
            </w:pPr>
            <w:r>
              <w:rPr>
                <w:rFonts w:ascii="Arial" w:hAnsi="Arial" w:cs="Arial"/>
              </w:rPr>
            </w:r>
            <w:r>
              <w:rPr>
                <w:rFonts w:ascii="Arial" w:hAnsi="Arial" w:cs="Arial"/>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9"/>
                    <w:jc w:val="both"/>
                    <w:rPr>
                      <w:rFonts w:ascii="Arial" w:hAnsi="Arial" w:cs="Arial"/>
                      <w:color w:val="000000"/>
                    </w:rPr>
                  </w:pPr>
                  <w:r>
                    <w:rPr>
                      <w:rFonts w:ascii="Arial" w:hAnsi="Arial" w:cs="Arial"/>
                      <w:color w:val="000000"/>
                    </w:rPr>
                    <w:t xml:space="preserve">O Presente </w:t>
                  </w:r>
                  <w:r>
                    <w:rPr>
                      <w:rFonts w:ascii="Arial" w:hAnsi="Arial" w:cs="Arial"/>
                      <w:b/>
                      <w:color w:val="000000"/>
                    </w:rPr>
                    <w:t xml:space="preserve">PREGÃO ELETRÔNICO</w:t>
                  </w:r>
                  <w:r>
                    <w:rPr>
                      <w:rFonts w:ascii="Arial" w:hAnsi="Arial" w:cs="Arial"/>
                      <w:color w:val="000000"/>
                    </w:rPr>
                    <w:t xml:space="preserve"> </w:t>
                  </w:r>
                  <w:r>
                    <w:rPr>
                      <w:rFonts w:ascii="Arial" w:hAnsi="Arial" w:cs="Arial"/>
                      <w:color w:val="000000"/>
                    </w:rPr>
                    <w:t xml:space="preserve">tem por objeto: </w:t>
                  </w:r>
                  <w:r>
                    <w:rPr>
                      <w:rFonts w:ascii="Arial" w:hAnsi="Arial" w:cs="Arial"/>
                      <w:b/>
                      <w:color w:val="000000"/>
                    </w:rPr>
                    <w:t xml:space="preserve">REGISTRO DE PREÇO PARA FUTURA E EVENTUAL </w:t>
                  </w:r>
                  <w:r>
                    <w:rPr>
                      <w:rFonts w:ascii="Arial" w:hAnsi="Arial" w:cs="Arial"/>
                      <w:b/>
                      <w:color w:val="000000"/>
                    </w:rPr>
                    <w:t xml:space="preserve">AQUISIÇÃO DE EQUIPAMENTOS, FERRAMENTAS E MATERIAIS DIVERSOS PARA MARCENARIA, destinados à estruturação e ao fu</w:t>
                  </w:r>
                  <w:r>
                    <w:rPr>
                      <w:rFonts w:ascii="Arial" w:hAnsi="Arial" w:cs="Arial"/>
                      <w:b/>
                      <w:color w:val="000000"/>
                    </w:rPr>
                    <w:t xml:space="preserve">ncionamento da marcenaria da Secretaria Municipal de Saúde, vinculada ao Setor de Engenharia, para atender às atividades de fabricação, montagem, manutenção, adaptação e reparo de móveis planejados e demais estruturas em madeira nas unidades da rede munici</w:t>
                  </w:r>
                  <w:r>
                    <w:rPr>
                      <w:rFonts w:ascii="Arial" w:hAnsi="Arial" w:cs="Arial"/>
                      <w:b/>
                      <w:color w:val="000000"/>
                    </w:rPr>
                    <w:t xml:space="preserve">pal de saúde,</w:t>
                  </w:r>
                  <w:r>
                    <w:rPr>
                      <w:rFonts w:ascii="Arial" w:hAnsi="Arial" w:cs="Arial"/>
                      <w:color w:val="000000"/>
                    </w:rPr>
                    <w:t xml:space="preserve"> conforme condições, especificações, quantidades e exigências estabelecidas neste edital e todos seus anexos.</w:t>
                  </w:r>
                  <w:r>
                    <w:rPr>
                      <w:rFonts w:ascii="Arial" w:hAnsi="Arial" w:cs="Arial"/>
                      <w:color w:val="000000"/>
                    </w:rPr>
                  </w:r>
                </w:p>
                <w:p>
                  <w:pPr>
                    <w:pStyle w:val="828"/>
                    <w:pBdr/>
                    <w:spacing/>
                    <w:ind/>
                    <w:jc w:val="both"/>
                    <w:rPr>
                      <w:rFonts w:ascii="Arial" w:hAnsi="Arial" w:cs="Arial"/>
                    </w:rPr>
                  </w:pPr>
                  <w:r>
                    <w:rPr>
                      <w:rFonts w:ascii="Arial" w:hAnsi="Arial" w:cs="Arial"/>
                    </w:rPr>
                  </w:r>
                  <w:r>
                    <w:rPr>
                      <w:rFonts w:ascii="Arial" w:hAnsi="Arial" w:cs="Arial"/>
                    </w:rPr>
                  </w:r>
                </w:p>
              </w:tc>
            </w:tr>
          </w:tbl>
          <w:p>
            <w:pPr>
              <w:pStyle w:val="828"/>
              <w:pBdr/>
              <w:spacing/>
              <w:ind/>
              <w:jc w:val="both"/>
              <w:rPr>
                <w:rFonts w:ascii="Arial" w:hAnsi="Arial" w:cs="Arial"/>
              </w:rPr>
            </w:pPr>
            <w:r>
              <w:rPr>
                <w:rFonts w:ascii="Arial" w:hAnsi="Arial" w:cs="Arial"/>
              </w:rPr>
            </w:r>
            <w:r>
              <w:rPr>
                <w:rFonts w:ascii="Arial" w:hAnsi="Arial" w:cs="Arial"/>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28"/>
                    <w:pBdr/>
                    <w:spacing/>
                    <w:ind/>
                    <w:jc w:val="center"/>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t xml:space="preserve">SESSÃO PÚBLICA PARA RECEBIMENTO DAS PROPOSTAS E DOCUMENTOS PARA HABILITAÇÃO</w:t>
                  </w:r>
                  <w:r>
                    <w:rPr>
                      <w:rFonts w:ascii="Arial" w:hAnsi="Arial" w:cs="Arial"/>
                    </w:rPr>
                  </w:r>
                </w:p>
                <w:p>
                  <w:pPr>
                    <w:pStyle w:val="828"/>
                    <w:pBdr/>
                    <w:spacing/>
                    <w:ind/>
                    <w:jc w:val="center"/>
                    <w:rPr>
                      <w:rFonts w:ascii="Arial" w:hAnsi="Arial" w:cs="Arial"/>
                    </w:rPr>
                  </w:pPr>
                  <w:r>
                    <w:rPr>
                      <w:rFonts w:ascii="Arial" w:hAnsi="Arial" w:cs="Arial"/>
                    </w:rPr>
                  </w:r>
                  <w:r>
                    <w:rPr>
                      <w:rFonts w:ascii="Arial" w:hAnsi="Arial" w:cs="Arial"/>
                    </w:rPr>
                  </w:r>
                </w:p>
              </w:tc>
            </w:tr>
          </w:tbl>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rPr>
                    <w:t xml:space="preserve">Local: </w:t>
                  </w:r>
                  <w:r>
                    <w:rPr>
                      <w:rFonts w:ascii="Arial" w:hAnsi="Arial" w:cs="Arial"/>
                    </w:rPr>
                    <w:fldChar w:fldCharType="begin"/>
                  </w:r>
                  <w:r>
                    <w:rPr>
                      <w:rFonts w:ascii="Arial" w:hAnsi="Arial" w:cs="Arial"/>
                    </w:rPr>
                    <w:instrText xml:space="preserve"> HYPERLINK "http://www.bllcompras.org.br/"</w:instrText>
                  </w:r>
                  <w:r>
                    <w:rPr>
                      <w:rFonts w:ascii="Arial" w:hAnsi="Arial" w:cs="Arial"/>
                    </w:rPr>
                    <w:fldChar w:fldCharType="separate"/>
                  </w:r>
                  <w:r>
                    <w:rPr>
                      <w:rStyle w:val="900"/>
                      <w:rFonts w:ascii="Arial" w:hAnsi="Arial" w:cs="Arial"/>
                      <w:b/>
                    </w:rPr>
                    <w:t xml:space="preserve">bllcompras.com</w:t>
                  </w:r>
                  <w:r>
                    <w:rPr>
                      <w:rFonts w:ascii="Arial" w:hAnsi="Arial" w:cs="Arial"/>
                    </w:rPr>
                    <w:fldChar w:fldCharType="end"/>
                  </w: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tc>
            </w:tr>
          </w:tbl>
          <w:p>
            <w:pPr>
              <w:pStyle w:val="828"/>
              <w:pBdr/>
              <w:spacing/>
              <w:ind/>
              <w:jc w:val="both"/>
              <w:rPr>
                <w:rFonts w:ascii="Arial" w:hAnsi="Arial" w:cs="Arial"/>
              </w:rPr>
            </w:pPr>
            <w:r>
              <w:rPr>
                <w:rFonts w:ascii="Arial" w:hAnsi="Arial" w:cs="Arial"/>
              </w:rPr>
            </w:r>
            <w:r>
              <w:rPr>
                <w:rFonts w:ascii="Arial" w:hAnsi="Arial" w:cs="Arial"/>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b/>
                    </w:rPr>
                  </w:pPr>
                  <w:r>
                    <w:rPr>
                      <w:rFonts w:ascii="Arial" w:hAnsi="Arial" w:cs="Arial"/>
                    </w:rPr>
                    <w:t xml:space="preserve">Data da sessão: </w:t>
                  </w:r>
                  <w:r>
                    <w:rPr>
                      <w:rFonts w:ascii="Arial" w:hAnsi="Arial" w:cs="Arial"/>
                      <w:b/>
                    </w:rPr>
                    <w:t xml:space="preserve">14/05/2026</w:t>
                  </w:r>
                  <w:r>
                    <w:rPr>
                      <w:b/>
                    </w:rPr>
                  </w:r>
                  <w:r>
                    <w:rPr>
                      <w:b/>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tc>
            </w:tr>
          </w:tbl>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28"/>
                    <w:pBdr/>
                    <w:spacing/>
                    <w:ind/>
                    <w:jc w:val="both"/>
                    <w:rPr>
                      <w:rFonts w:ascii="Arial" w:hAnsi="Arial" w:cs="Arial"/>
                    </w:rPr>
                  </w:pPr>
                  <w:r>
                    <w:rPr>
                      <w:rFonts w:ascii="Arial" w:hAnsi="Arial" w:cs="Arial"/>
                    </w:rPr>
                  </w:r>
                  <w:r>
                    <w:rPr>
                      <w:rFonts w:ascii="Arial" w:hAnsi="Arial" w:cs="Arial"/>
                    </w:rPr>
                  </w:r>
                </w:p>
                <w:p>
                  <w:pPr>
                    <w:pStyle w:val="828"/>
                    <w:pBdr/>
                    <w:tabs>
                      <w:tab w:val="left" w:leader="none" w:pos="6435"/>
                    </w:tabs>
                    <w:spacing/>
                    <w:ind/>
                    <w:jc w:val="both"/>
                    <w:rPr>
                      <w:rFonts w:ascii="Arial" w:hAnsi="Arial" w:cs="Arial"/>
                    </w:rPr>
                  </w:pPr>
                  <w:r>
                    <w:rPr>
                      <w:rFonts w:ascii="Arial" w:hAnsi="Arial" w:cs="Arial"/>
                    </w:rPr>
                    <w:t xml:space="preserve">Horário: </w:t>
                  </w:r>
                  <w:r>
                    <w:rPr>
                      <w:rFonts w:ascii="Arial" w:hAnsi="Arial" w:cs="Arial"/>
                      <w:b/>
                      <w:color w:val="000000"/>
                    </w:rPr>
                    <w:t xml:space="preserve">09h30min – Horário de Brasília</w:t>
                    <w:tab/>
                  </w:r>
                  <w:r>
                    <w:rPr>
                      <w:rFonts w:ascii="Arial" w:hAnsi="Arial" w:cs="Arial"/>
                    </w:rPr>
                  </w:r>
                  <w:r>
                    <w:rPr>
                      <w:rFonts w:ascii="Arial" w:hAnsi="Arial" w:cs="Arial"/>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tc>
            </w:tr>
          </w:tbl>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b/>
                    </w:rPr>
                    <w:t xml:space="preserve">CONTATO</w:t>
                  </w: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b/>
                    </w:rPr>
                    <w:t xml:space="preserve">(66) 3411 5734</w:t>
                  </w: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fldChar w:fldCharType="begin"/>
                  </w:r>
                  <w:r>
                    <w:rPr>
                      <w:rFonts w:ascii="Arial" w:hAnsi="Arial" w:cs="Arial"/>
                    </w:rPr>
                    <w:instrText xml:space="preserve"> HYPERLINK "mailto:pmrroo@hotmail.com"</w:instrText>
                  </w:r>
                  <w:r>
                    <w:rPr>
                      <w:rFonts w:ascii="Arial" w:hAnsi="Arial" w:cs="Arial"/>
                    </w:rPr>
                    <w:fldChar w:fldCharType="separate"/>
                  </w:r>
                  <w:r>
                    <w:rPr>
                      <w:rStyle w:val="900"/>
                      <w:rFonts w:ascii="Arial" w:hAnsi="Arial" w:cs="Arial"/>
                    </w:rPr>
                    <w:t xml:space="preserve">pmrroo@hotmail.com</w:t>
                  </w:r>
                  <w:r>
                    <w:rPr>
                      <w:rFonts w:ascii="Arial" w:hAnsi="Arial" w:cs="Arial"/>
                    </w:rPr>
                    <w:fldChar w:fldCharType="end"/>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tc>
            </w:tr>
          </w:tbl>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tc>
      </w:tr>
    </w:tbl>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8"/>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pPr>
        <w:pStyle w:val="829"/>
        <w:numPr>
          <w:ilvl w:val="0"/>
          <w:numId w:val="0"/>
        </w:numPr>
        <w:pBdr/>
        <w:spacing/>
        <w:ind/>
        <w:rPr>
          <w:sz w:val="20"/>
          <w:szCs w:val="20"/>
        </w:rPr>
      </w:pPr>
      <w:r/>
      <w:bookmarkStart w:id="0" w:name="__RefHeading___Toc190782007"/>
      <w:r/>
      <w:bookmarkEnd w:id="0"/>
      <w:r>
        <w:rPr>
          <w:rFonts w:eastAsia="SimSun"/>
          <w:sz w:val="20"/>
          <w:szCs w:val="20"/>
          <w:lang w:val="pt-BR"/>
        </w:rPr>
        <w:t xml:space="preserve">1. PREÂMBULO:</w:t>
      </w:r>
      <w:r>
        <w:rPr>
          <w:sz w:val="20"/>
          <w:szCs w:val="20"/>
        </w:rPr>
      </w:r>
      <w:r>
        <w:rPr>
          <w:sz w:val="20"/>
          <w:szCs w:val="20"/>
        </w:rPr>
      </w:r>
    </w:p>
    <w:p>
      <w:pPr>
        <w:pStyle w:val="829"/>
        <w:pBdr/>
        <w:spacing w:after="0" w:before="0"/>
        <w:ind/>
        <w:rPr>
          <w:rFonts w:eastAsia="SimSun"/>
          <w:sz w:val="20"/>
          <w:szCs w:val="20"/>
          <w:lang w:val="pt-BR"/>
        </w:rPr>
      </w:pPr>
      <w:r>
        <w:rPr>
          <w:rFonts w:eastAsia="SimSun"/>
          <w:sz w:val="20"/>
          <w:szCs w:val="20"/>
          <w:lang w:val="pt-BR"/>
        </w:rPr>
      </w:r>
      <w:r>
        <w:rPr>
          <w:rFonts w:eastAsia="SimSun"/>
          <w:sz w:val="20"/>
          <w:szCs w:val="20"/>
          <w:lang w:val="pt-BR"/>
        </w:rPr>
      </w:r>
    </w:p>
    <w:p>
      <w:pPr>
        <w:pStyle w:val="828"/>
        <w:numPr>
          <w:ilvl w:val="1"/>
          <w:numId w:val="3"/>
        </w:numPr>
        <w:pBdr/>
        <w:spacing/>
        <w:ind/>
        <w:jc w:val="both"/>
        <w:rPr>
          <w:rFonts w:ascii="Arial" w:hAnsi="Arial" w:cs="Arial"/>
        </w:rPr>
      </w:pPr>
      <w:r>
        <w:rPr>
          <w:rFonts w:ascii="Arial" w:hAnsi="Arial" w:eastAsia="SimSun" w:cs="Arial"/>
          <w:b/>
          <w:bCs/>
        </w:rPr>
        <w:t xml:space="preserve">EDITAL DE LICITAÇÃO: PREGÃO ELETRÔNICO N.º </w:t>
      </w:r>
      <w:r>
        <w:rPr>
          <w:rFonts w:ascii="Arial" w:hAnsi="Arial" w:eastAsia="SimSun" w:cs="Arial"/>
          <w:b/>
          <w:bCs/>
        </w:rPr>
        <w:t xml:space="preserve">2</w:t>
      </w:r>
      <w:r>
        <w:rPr>
          <w:rFonts w:ascii="Arial" w:hAnsi="Arial" w:eastAsia="SimSun" w:cs="Arial"/>
          <w:b/>
          <w:bCs/>
        </w:rPr>
        <w:t xml:space="preserve">2</w:t>
      </w:r>
      <w:r>
        <w:rPr>
          <w:rFonts w:ascii="Arial" w:hAnsi="Arial" w:eastAsia="SimSun" w:cs="Arial"/>
          <w:b/>
          <w:bCs/>
        </w:rPr>
        <w:t xml:space="preserve">/2026</w:t>
      </w:r>
      <w:r>
        <w:rPr>
          <w:rFonts w:ascii="Arial" w:hAnsi="Arial" w:eastAsia="SimSun" w:cs="Arial"/>
          <w:b/>
          <w:bCs/>
        </w:rPr>
        <w:t xml:space="preserve">, PROCESSO Nº </w:t>
      </w:r>
      <w:r>
        <w:rPr>
          <w:rFonts w:ascii="Arial" w:hAnsi="Arial" w:eastAsia="SimSun" w:cs="Arial"/>
          <w:b/>
          <w:bCs/>
        </w:rPr>
        <w:t xml:space="preserve">146/2026</w:t>
      </w:r>
      <w:r>
        <w:rPr>
          <w:rFonts w:ascii="Arial" w:hAnsi="Arial" w:cs="Arial"/>
          <w:b/>
          <w:bCs/>
        </w:rPr>
        <w:t xml:space="preserve">.</w:t>
      </w:r>
      <w:r>
        <w:rPr>
          <w:rFonts w:ascii="Arial" w:hAnsi="Arial" w:cs="Arial"/>
        </w:rPr>
      </w:r>
      <w:r>
        <w:rPr>
          <w:rFonts w:ascii="Arial" w:hAnsi="Arial" w:cs="Arial"/>
        </w:rPr>
      </w:r>
    </w:p>
    <w:p>
      <w:pPr>
        <w:pStyle w:val="828"/>
        <w:pBdr/>
        <w:spacing/>
        <w:ind/>
        <w:jc w:val="both"/>
        <w:rPr>
          <w:rFonts w:ascii="Arial" w:hAnsi="Arial" w:cs="Arial"/>
          <w:b/>
          <w:bCs/>
        </w:rPr>
      </w:pPr>
      <w:r>
        <w:rPr>
          <w:rFonts w:ascii="Arial" w:hAnsi="Arial" w:cs="Arial"/>
          <w:b/>
          <w:bCs/>
        </w:rPr>
      </w:r>
      <w:r>
        <w:rPr>
          <w:rFonts w:ascii="Arial" w:hAnsi="Arial" w:cs="Arial"/>
          <w:b/>
          <w:bCs/>
        </w:rPr>
      </w:r>
    </w:p>
    <w:p>
      <w:pPr>
        <w:pStyle w:val="828"/>
        <w:pBdr/>
        <w:spacing/>
        <w:ind/>
        <w:jc w:val="both"/>
        <w:rPr>
          <w:rFonts w:ascii="Arial" w:hAnsi="Arial" w:cs="Arial"/>
        </w:rPr>
      </w:pPr>
      <w:r>
        <w:rPr>
          <w:rFonts w:ascii="Arial" w:hAnsi="Arial" w:cs="Arial"/>
          <w:b/>
          <w:bCs/>
        </w:rPr>
        <w:t xml:space="preserve">1.2. CRITÉRIO DE JULGAMENTO DA LICITAÇÃO</w:t>
      </w:r>
      <w:r>
        <w:rPr>
          <w:rFonts w:ascii="Arial" w:hAnsi="Arial" w:eastAsia="SimSun" w:cs="Arial"/>
        </w:rPr>
        <w:t xml:space="preserve">: </w:t>
      </w:r>
      <w:r>
        <w:rPr>
          <w:rFonts w:ascii="Arial" w:hAnsi="Arial" w:cs="Arial"/>
        </w:rPr>
      </w:r>
      <w:r>
        <w:rPr>
          <w:rFonts w:ascii="Arial" w:hAnsi="Arial" w:cs="Arial"/>
        </w:rPr>
      </w:r>
    </w:p>
    <w:p>
      <w:pPr>
        <w:pStyle w:val="828"/>
        <w:pBdr/>
        <w:spacing/>
        <w:ind w:right="99" w:left="284"/>
        <w:jc w:val="both"/>
        <w:rPr>
          <w:rFonts w:ascii="Arial" w:hAnsi="Arial" w:eastAsia="SimSun" w:cs="Arial"/>
          <w:b/>
          <w:bCs/>
        </w:rPr>
      </w:pPr>
      <w:r>
        <w:rPr>
          <w:rFonts w:ascii="Arial" w:hAnsi="Arial" w:eastAsia="SimSun" w:cs="Arial"/>
          <w:b/>
          <w:bCs/>
        </w:rPr>
      </w:r>
      <w:r>
        <w:rPr>
          <w:rFonts w:ascii="Arial" w:hAnsi="Arial" w:eastAsia="SimSun" w:cs="Arial"/>
          <w:b/>
          <w:bCs/>
        </w:rPr>
      </w:r>
    </w:p>
    <w:p>
      <w:pPr>
        <w:pStyle w:val="828"/>
        <w:pBdr/>
        <w:spacing/>
        <w:ind w:right="99" w:left="284"/>
        <w:jc w:val="both"/>
        <w:rPr>
          <w:rFonts w:ascii="Arial" w:hAnsi="Arial" w:cs="Arial"/>
          <w:b/>
        </w:rPr>
      </w:pPr>
      <w:r>
        <w:rPr>
          <w:rFonts w:ascii="Arial" w:hAnsi="Arial" w:cs="Arial"/>
          <w:b/>
          <w:bCs/>
        </w:rPr>
        <w:t xml:space="preserve">1.2.1. </w:t>
      </w:r>
      <w:r>
        <w:rPr>
          <w:rFonts w:ascii="Arial" w:hAnsi="Arial" w:cs="Arial"/>
          <w:b/>
        </w:rPr>
        <w:t xml:space="preserve">MENOR PREÇO POR </w:t>
      </w:r>
      <w:r>
        <w:rPr>
          <w:rFonts w:ascii="Arial" w:hAnsi="Arial" w:cs="Arial"/>
          <w:b/>
        </w:rPr>
        <w:t xml:space="preserve">ITEM</w:t>
      </w:r>
      <w:r>
        <w:rPr>
          <w:rFonts w:ascii="Arial" w:hAnsi="Arial" w:cs="Arial"/>
          <w:b/>
        </w:rPr>
      </w:r>
      <w:r>
        <w:rPr>
          <w:rFonts w:ascii="Arial" w:hAnsi="Arial" w:cs="Arial"/>
          <w:b/>
        </w:rPr>
      </w:r>
    </w:p>
    <w:p>
      <w:pPr>
        <w:pStyle w:val="828"/>
        <w:pBdr/>
        <w:spacing/>
        <w:ind w:right="99" w:left="284"/>
        <w:jc w:val="both"/>
        <w:rPr>
          <w:rFonts w:ascii="Arial" w:hAnsi="Arial" w:cs="Arial"/>
          <w:b/>
          <w:bCs/>
        </w:rPr>
      </w:pPr>
      <w:r>
        <w:rPr>
          <w:rFonts w:ascii="Arial" w:hAnsi="Arial" w:cs="Arial"/>
          <w:b/>
          <w:bCs/>
        </w:rPr>
      </w:r>
      <w:r>
        <w:rPr>
          <w:rFonts w:ascii="Arial" w:hAnsi="Arial" w:cs="Arial"/>
          <w:b/>
          <w:bCs/>
        </w:rPr>
      </w:r>
    </w:p>
    <w:p>
      <w:pPr>
        <w:pStyle w:val="828"/>
        <w:pBdr/>
        <w:spacing/>
        <w:ind/>
        <w:jc w:val="both"/>
        <w:rPr>
          <w:rFonts w:ascii="Arial" w:hAnsi="Arial" w:cs="Arial"/>
        </w:rPr>
      </w:pPr>
      <w:r>
        <w:rPr>
          <w:rFonts w:ascii="Arial" w:hAnsi="Arial" w:cs="Arial"/>
          <w:b/>
          <w:bCs/>
        </w:rPr>
        <w:t xml:space="preserve">1.3. Data</w:t>
      </w:r>
      <w:r>
        <w:rPr>
          <w:rFonts w:ascii="Arial" w:hAnsi="Arial" w:cs="Arial"/>
          <w:b/>
          <w:bCs/>
          <w:color w:val="000000" w:themeColor="text1"/>
        </w:rPr>
        <w:t xml:space="preserve">:</w:t>
      </w:r>
      <w:r>
        <w:rPr>
          <w:rFonts w:ascii="Arial" w:hAnsi="Arial" w:cs="Arial"/>
          <w:bCs/>
          <w:color w:val="000000" w:themeColor="text1"/>
        </w:rPr>
        <w:t xml:space="preserve"> </w:t>
      </w:r>
      <w:r>
        <w:rPr>
          <w:rFonts w:ascii="Arial" w:hAnsi="Arial" w:cs="Arial"/>
          <w:b/>
          <w:bCs/>
          <w:color w:val="000000" w:themeColor="text1"/>
        </w:rPr>
        <w:t xml:space="preserve">14/05/2026</w:t>
      </w:r>
      <w:r>
        <w:rPr>
          <w:rFonts w:ascii="Arial" w:hAnsi="Arial" w:cs="Arial"/>
          <w:b/>
          <w:bCs/>
        </w:rPr>
        <w:t xml:space="preserve">,</w:t>
      </w:r>
      <w:r>
        <w:rPr>
          <w:rFonts w:ascii="Arial" w:hAnsi="Arial" w:cs="Arial"/>
          <w:b/>
          <w:bCs/>
        </w:rPr>
        <w:t xml:space="preserve"> Horário Brasília: </w:t>
      </w:r>
      <w:r>
        <w:rPr>
          <w:rFonts w:ascii="Arial" w:hAnsi="Arial" w:cs="Arial"/>
          <w:b/>
          <w:bCs/>
          <w:color w:val="000000"/>
        </w:rPr>
        <w:t xml:space="preserve">09:30hs</w:t>
      </w:r>
      <w:r>
        <w:rPr>
          <w:rFonts w:ascii="Arial" w:hAnsi="Arial" w:cs="Arial"/>
          <w:b/>
          <w:bCs/>
        </w:rPr>
        <w:t xml:space="preserve">, </w:t>
      </w:r>
      <w:r>
        <w:rPr>
          <w:rFonts w:ascii="Arial" w:hAnsi="Arial" w:cs="Arial"/>
          <w:bCs/>
        </w:rPr>
        <w:t xml:space="preserve">Endereço:</w:t>
      </w:r>
      <w:r>
        <w:rPr>
          <w:rFonts w:ascii="Arial" w:hAnsi="Arial" w:cs="Arial"/>
          <w:b/>
          <w:bCs/>
        </w:rPr>
        <w:t xml:space="preserve"> </w:t>
      </w:r>
      <w:r>
        <w:rPr>
          <w:rFonts w:ascii="Arial" w:hAnsi="Arial" w:cs="Arial"/>
          <w:b/>
        </w:rPr>
        <w:t xml:space="preserve">Prefeitura Municipal de Rondonópolis </w:t>
      </w:r>
      <w:r>
        <w:rPr>
          <w:rFonts w:ascii="Arial" w:hAnsi="Arial" w:cs="Arial"/>
        </w:rPr>
        <w:t xml:space="preserve">-</w:t>
      </w:r>
      <w:r>
        <w:rPr>
          <w:rFonts w:ascii="Arial" w:hAnsi="Arial" w:cs="Arial"/>
          <w:b/>
        </w:rPr>
        <w:t xml:space="preserve"> </w:t>
      </w:r>
      <w:r>
        <w:rPr>
          <w:rFonts w:ascii="Arial" w:hAnsi="Arial" w:cs="Arial"/>
        </w:rPr>
        <w:t xml:space="preserve">Estado de Mato Grosso</w:t>
      </w:r>
      <w:r>
        <w:rPr>
          <w:rFonts w:ascii="Arial" w:hAnsi="Arial" w:cs="Arial"/>
          <w:b/>
        </w:rPr>
        <w:t xml:space="preserve">, </w:t>
      </w:r>
      <w:r>
        <w:rPr>
          <w:rFonts w:ascii="Arial" w:hAnsi="Arial" w:cs="Arial"/>
        </w:rPr>
        <w:t xml:space="preserve">Avenida Duque de Caxias n.º 1.000, CEP: 78.740-022, Bairro: Vila Aurora -</w:t>
      </w:r>
      <w:r>
        <w:rPr>
          <w:rFonts w:ascii="Arial" w:hAnsi="Arial" w:cs="Arial"/>
          <w:b/>
        </w:rPr>
        <w:t xml:space="preserve"> Sala de Licitações – PISO SUPERIOR.</w:t>
      </w:r>
      <w:r>
        <w:rPr>
          <w:rFonts w:ascii="Arial" w:hAnsi="Arial" w:cs="Arial"/>
        </w:rPr>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1.4.</w:t>
      </w:r>
      <w:r>
        <w:rPr>
          <w:rFonts w:ascii="Arial" w:hAnsi="Arial" w:cs="Arial"/>
        </w:rPr>
        <w:t xml:space="preserve"> O Pregão Eletrônico será realizado em sessão pública, por meio da INTERNET, mediante condições de segurança – cr</w:t>
      </w:r>
      <w:r>
        <w:rPr>
          <w:rFonts w:ascii="Arial" w:hAnsi="Arial" w:cs="Arial"/>
        </w:rPr>
        <w:t xml:space="preserve">iptografia e autenticação em todas as suas fases. Os trabalhos serão conduzidos por servidor integrante do quadro </w:t>
      </w:r>
      <w:r>
        <w:rPr>
          <w:rFonts w:ascii="Arial" w:hAnsi="Arial" w:cs="Arial"/>
        </w:rPr>
        <w:t xml:space="preserve">da </w:t>
      </w:r>
      <w:r>
        <w:rPr>
          <w:rFonts w:ascii="Arial" w:hAnsi="Arial" w:cs="Arial"/>
        </w:rPr>
        <w:t xml:space="preserve">Prefeitura Municipal, denominado </w:t>
      </w:r>
      <w:r>
        <w:rPr>
          <w:rFonts w:ascii="Arial" w:hAnsi="Arial" w:cs="Arial"/>
          <w:b/>
        </w:rPr>
        <w:t xml:space="preserve">Pregoeiro</w:t>
      </w:r>
      <w:r>
        <w:rPr>
          <w:rFonts w:ascii="Arial" w:hAnsi="Arial" w:cs="Arial"/>
        </w:rPr>
        <w:t xml:space="preserve">, mediante a inserção e monitoramento de dados gerados ou transferidos para o aplicativo, constante da página eletrônica da </w:t>
      </w:r>
      <w:r>
        <w:rPr>
          <w:rFonts w:ascii="Arial" w:hAnsi="Arial" w:cs="Arial"/>
          <w:b/>
        </w:rPr>
        <w:t xml:space="preserve">BLL– Bolsa de Licitações e Leilões: </w:t>
      </w:r>
      <w:r>
        <w:rPr>
          <w:rFonts w:ascii="Arial" w:hAnsi="Arial" w:cs="Arial"/>
        </w:rPr>
        <w:fldChar w:fldCharType="begin"/>
      </w:r>
      <w:r>
        <w:rPr>
          <w:rFonts w:ascii="Arial" w:hAnsi="Arial" w:cs="Arial"/>
        </w:rPr>
        <w:instrText xml:space="preserve"> HYPERLINK "http://www.bllcompras.org.br/"</w:instrText>
      </w:r>
      <w:r>
        <w:rPr>
          <w:rFonts w:ascii="Arial" w:hAnsi="Arial" w:cs="Arial"/>
        </w:rPr>
        <w:fldChar w:fldCharType="separate"/>
      </w:r>
      <w:r>
        <w:rPr>
          <w:rStyle w:val="900"/>
          <w:rFonts w:ascii="Arial" w:hAnsi="Arial" w:cs="Arial"/>
          <w:b/>
        </w:rPr>
        <w:t xml:space="preserve">bllcompras.com</w:t>
      </w:r>
      <w:r>
        <w:rPr>
          <w:rFonts w:ascii="Arial" w:hAnsi="Arial" w:cs="Arial"/>
        </w:rPr>
        <w:fldChar w:fldCharType="end"/>
      </w:r>
      <w:r>
        <w:rPr>
          <w:rFonts w:ascii="Arial" w:hAnsi="Arial" w:cs="Arial"/>
        </w:rPr>
        <w:t xml:space="preserve">.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1.5.</w:t>
      </w:r>
      <w:r>
        <w:rPr>
          <w:rFonts w:ascii="Arial" w:hAnsi="Arial" w:cs="Arial"/>
        </w:rPr>
        <w:t xml:space="preserve"> O número da Licitação no </w:t>
      </w:r>
      <w:r>
        <w:rPr>
          <w:rFonts w:ascii="Arial" w:hAnsi="Arial" w:cs="Arial"/>
          <w:b/>
        </w:rPr>
        <w:t xml:space="preserve">site da BLL é Pregão Eletrônico n.º </w:t>
      </w:r>
      <w:r>
        <w:rPr>
          <w:rFonts w:ascii="Arial" w:hAnsi="Arial" w:cs="Arial"/>
          <w:b/>
        </w:rPr>
        <w:t xml:space="preserve">2</w:t>
      </w:r>
      <w:r>
        <w:rPr>
          <w:rFonts w:ascii="Arial" w:hAnsi="Arial" w:cs="Arial"/>
          <w:b/>
        </w:rPr>
        <w:t xml:space="preserve">2</w:t>
      </w:r>
      <w:r>
        <w:rPr>
          <w:rFonts w:ascii="Arial" w:hAnsi="Arial" w:cs="Arial"/>
          <w:b/>
        </w:rPr>
        <w:t xml:space="preserve">/2026</w:t>
      </w:r>
      <w:r>
        <w:rPr>
          <w:rFonts w:ascii="Arial" w:hAnsi="Arial" w:cs="Arial"/>
          <w:b/>
        </w:rPr>
        <w:t xml:space="preserve"> e Processo </w:t>
      </w:r>
      <w:r>
        <w:rPr>
          <w:rFonts w:ascii="Arial" w:hAnsi="Arial" w:cs="Arial"/>
          <w:b/>
        </w:rPr>
        <w:t xml:space="preserve">n.º </w:t>
      </w:r>
      <w:r>
        <w:rPr>
          <w:rFonts w:ascii="Arial" w:hAnsi="Arial" w:eastAsia="SimSun" w:cs="Arial"/>
          <w:b/>
          <w:bCs/>
        </w:rPr>
        <w:t xml:space="preserve">146/2026</w:t>
      </w:r>
      <w:r>
        <w:rPr>
          <w:rFonts w:ascii="Arial" w:hAnsi="Arial" w:cs="Arial"/>
          <w:b/>
          <w:bCs/>
        </w:rPr>
        <w:t xml:space="preserve"> </w:t>
      </w:r>
      <w:r>
        <w:rPr>
          <w:rFonts w:ascii="Arial" w:hAnsi="Arial" w:cs="Arial"/>
        </w:rPr>
        <w:t xml:space="preserve">e nome utilizado é </w:t>
      </w:r>
      <w:r>
        <w:rPr>
          <w:rFonts w:ascii="Arial" w:hAnsi="Arial" w:cs="Arial"/>
          <w:b/>
        </w:rPr>
        <w:t xml:space="preserve">Prefeitura Mu</w:t>
      </w:r>
      <w:r>
        <w:rPr>
          <w:rFonts w:ascii="Arial" w:hAnsi="Arial" w:cs="Arial"/>
          <w:b/>
        </w:rPr>
        <w:t xml:space="preserve">nicipal de Rondonópolis – MT.</w:t>
      </w:r>
      <w:r>
        <w:rPr>
          <w:rFonts w:ascii="Arial" w:hAnsi="Arial" w:cs="Arial"/>
        </w:rPr>
      </w:r>
      <w:r>
        <w:rPr>
          <w:rFonts w:ascii="Arial" w:hAnsi="Arial" w:cs="Arial"/>
        </w:rPr>
      </w:r>
    </w:p>
    <w:p>
      <w:pPr>
        <w:pStyle w:val="828"/>
        <w:pBdr/>
        <w:spacing/>
        <w:ind w:right="99"/>
        <w:jc w:val="both"/>
        <w:rPr>
          <w:rFonts w:ascii="Arial" w:hAnsi="Arial" w:cs="Arial"/>
          <w:b/>
          <w:bCs/>
        </w:rPr>
      </w:pPr>
      <w:r>
        <w:rPr>
          <w:rFonts w:ascii="Arial" w:hAnsi="Arial" w:cs="Arial"/>
          <w:b/>
          <w:bCs/>
        </w:rPr>
      </w:r>
      <w:r>
        <w:rPr>
          <w:rFonts w:ascii="Arial" w:hAnsi="Arial" w:cs="Arial"/>
          <w:b/>
          <w:bCs/>
        </w:rPr>
      </w:r>
    </w:p>
    <w:p>
      <w:pPr>
        <w:pStyle w:val="828"/>
        <w:pBdr/>
        <w:spacing/>
        <w:ind w:right="99"/>
        <w:jc w:val="both"/>
        <w:rPr>
          <w:rFonts w:ascii="Arial" w:hAnsi="Arial" w:cs="Arial"/>
        </w:rPr>
      </w:pPr>
      <w:r>
        <w:rPr>
          <w:rFonts w:ascii="Arial" w:hAnsi="Arial" w:cs="Arial"/>
          <w:b/>
          <w:bCs/>
        </w:rPr>
        <w:t xml:space="preserve">1.6. FUNDAMENTO LEGAL: </w:t>
      </w:r>
      <w:r>
        <w:rPr>
          <w:rFonts w:ascii="Arial" w:hAnsi="Arial" w:cs="Arial"/>
          <w:bCs/>
        </w:rPr>
        <w:t xml:space="preserve">O</w:t>
      </w:r>
      <w:r>
        <w:rPr>
          <w:rFonts w:ascii="Arial" w:hAnsi="Arial" w:cs="Arial"/>
        </w:rPr>
        <w:t xml:space="preserve"> Município de Rondonópolis, Estado de Mato Grosso, mediante ao (a) Pregoeiro (a) e Equipe de Apoio</w:t>
      </w:r>
      <w:r>
        <w:rPr>
          <w:rFonts w:ascii="Arial" w:hAnsi="Arial" w:cs="Arial"/>
        </w:rPr>
        <w:t xml:space="preserve">, designados</w:t>
      </w:r>
      <w:r>
        <w:rPr>
          <w:rFonts w:ascii="Arial" w:hAnsi="Arial" w:cs="Arial"/>
        </w:rPr>
        <w:t xml:space="preserve"> pela Portaria nº </w:t>
      </w:r>
      <w:r>
        <w:rPr>
          <w:rFonts w:ascii="Arial" w:hAnsi="Arial" w:cs="Arial"/>
        </w:rPr>
        <w:t xml:space="preserve">40.976</w:t>
      </w:r>
      <w:r>
        <w:rPr>
          <w:rFonts w:ascii="Arial" w:hAnsi="Arial" w:cs="Arial"/>
        </w:rPr>
        <w:t xml:space="preserve"> de </w:t>
      </w:r>
      <w:r>
        <w:rPr>
          <w:rFonts w:ascii="Arial" w:hAnsi="Arial" w:cs="Arial"/>
        </w:rPr>
        <w:t xml:space="preserve">05 de março de 2026,</w:t>
      </w:r>
      <w:r>
        <w:rPr>
          <w:rFonts w:ascii="Arial" w:hAnsi="Arial" w:cs="Arial"/>
        </w:rPr>
        <w:t xml:space="preserve"> </w:t>
      </w:r>
      <w:r>
        <w:rPr>
          <w:rFonts w:ascii="Arial" w:hAnsi="Arial" w:cs="Arial"/>
        </w:rPr>
        <w:t xml:space="preserve">torna público para conhecimento dos interessados que esta licitação é regida </w:t>
      </w:r>
      <w:r>
        <w:rPr>
          <w:rFonts w:ascii="Arial" w:hAnsi="Arial" w:cs="Arial"/>
          <w:color w:val="000000"/>
        </w:rPr>
        <w:t xml:space="preserve">nos termos da </w:t>
      </w:r>
      <w:r>
        <w:rPr>
          <w:rFonts w:ascii="Arial" w:hAnsi="Arial" w:cs="Arial"/>
          <w:b/>
        </w:rPr>
        <w:t xml:space="preserve">Lei nº 14.133, de 1º de abril de 2021, inciso XX do artigo 6º;§ 1º do artigo 18; Decreto nº 11.685, Lei nº</w:t>
      </w:r>
      <w:r>
        <w:rPr>
          <w:rFonts w:ascii="Arial" w:hAnsi="Arial" w:cs="Arial"/>
          <w:b/>
        </w:rPr>
        <w:t xml:space="preserve"> </w:t>
      </w:r>
      <w:r>
        <w:rPr>
          <w:rFonts w:ascii="Arial" w:hAnsi="Arial" w:cs="Arial"/>
          <w:b/>
        </w:rPr>
        <w:t xml:space="preserve">14.061/2025</w:t>
      </w:r>
      <w:r>
        <w:rPr>
          <w:rFonts w:ascii="Arial" w:hAnsi="Arial" w:cs="Arial"/>
          <w:b/>
        </w:rPr>
        <w:t xml:space="preserve">, Lei Municipal nº 14.569/202</w:t>
      </w:r>
      <w:r>
        <w:rPr>
          <w:rFonts w:ascii="Arial" w:hAnsi="Arial" w:eastAsia="SimSun" w:cs="Arial"/>
          <w:b/>
          <w:color w:val="000000"/>
        </w:rPr>
        <w:t xml:space="preserve">5</w:t>
      </w:r>
      <w:r>
        <w:rPr>
          <w:rFonts w:ascii="Arial" w:hAnsi="Arial" w:cs="Arial"/>
          <w:b/>
        </w:rPr>
        <w:t xml:space="preserve"> e</w:t>
      </w:r>
      <w:r>
        <w:rPr>
          <w:rFonts w:ascii="Arial" w:hAnsi="Arial" w:cs="Arial"/>
        </w:rPr>
        <w:t xml:space="preserve"> </w:t>
      </w:r>
      <w:r>
        <w:rPr>
          <w:rFonts w:ascii="Arial" w:hAnsi="Arial" w:cs="Arial"/>
          <w:b/>
        </w:rPr>
        <w:t xml:space="preserve">Decreto nº 12.608/2025,</w:t>
      </w:r>
      <w:r>
        <w:rPr>
          <w:rFonts w:ascii="Arial" w:hAnsi="Arial" w:cs="Arial"/>
        </w:rPr>
        <w:t xml:space="preserve"> e demais legislação aplicável e,</w:t>
      </w:r>
      <w:r>
        <w:rPr>
          <w:rFonts w:ascii="Arial" w:hAnsi="Arial" w:cs="Arial"/>
        </w:rPr>
        <w:t xml:space="preserve"> ainda, de acordo com as condições estabelecidas neste Edital.</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9"/>
        <w:pBdr/>
        <w:spacing w:after="0" w:before="0"/>
        <w:ind/>
        <w:rPr>
          <w:sz w:val="20"/>
          <w:szCs w:val="20"/>
        </w:rPr>
      </w:pPr>
      <w:r/>
      <w:bookmarkStart w:id="1" w:name="__RefHeading___Toc190782008"/>
      <w:r/>
      <w:bookmarkEnd w:id="1"/>
      <w:r>
        <w:rPr>
          <w:rFonts w:eastAsia="SimSun"/>
          <w:sz w:val="20"/>
          <w:szCs w:val="20"/>
          <w:lang w:val="pt-BR"/>
        </w:rPr>
        <w:t xml:space="preserve">2. DO OBJETO:</w:t>
      </w:r>
      <w:r>
        <w:rPr>
          <w:sz w:val="20"/>
          <w:szCs w:val="20"/>
        </w:rPr>
      </w:r>
      <w:r>
        <w:rPr>
          <w:sz w:val="20"/>
          <w:szCs w:val="20"/>
        </w:rPr>
      </w:r>
    </w:p>
    <w:p>
      <w:pPr>
        <w:pStyle w:val="828"/>
        <w:pBdr/>
        <w:spacing/>
        <w:ind/>
        <w:rPr>
          <w:rFonts w:ascii="Arial" w:hAnsi="Arial" w:eastAsia="SimSun" w:cs="Arial"/>
        </w:rPr>
      </w:pPr>
      <w:r>
        <w:rPr>
          <w:rFonts w:ascii="Arial" w:hAnsi="Arial" w:eastAsia="SimSun" w:cs="Arial"/>
        </w:rPr>
      </w:r>
      <w:r>
        <w:rPr>
          <w:rFonts w:ascii="Arial" w:hAnsi="Arial" w:eastAsia="SimSun" w:cs="Arial"/>
        </w:rPr>
      </w:r>
    </w:p>
    <w:p>
      <w:pPr>
        <w:pStyle w:val="828"/>
        <w:pBdr/>
        <w:spacing/>
        <w:ind/>
        <w:jc w:val="both"/>
        <w:rPr>
          <w:rFonts w:ascii="Arial" w:hAnsi="Arial" w:cs="Arial"/>
          <w:bCs/>
          <w:color w:val="000000"/>
        </w:rPr>
      </w:pPr>
      <w:r>
        <w:rPr>
          <w:rFonts w:ascii="Arial" w:hAnsi="Arial" w:cs="Arial"/>
          <w:b/>
        </w:rPr>
        <w:t xml:space="preserve">2.1.</w:t>
      </w:r>
      <w:r>
        <w:rPr>
          <w:rFonts w:ascii="Arial" w:hAnsi="Arial" w:cs="Arial"/>
        </w:rPr>
        <w:t xml:space="preserve"> O objeto da presente licitação é</w:t>
      </w:r>
      <w:r>
        <w:rPr>
          <w:rFonts w:ascii="Arial" w:hAnsi="Arial" w:cs="Arial"/>
        </w:rPr>
        <w:t xml:space="preserve"> o</w:t>
      </w:r>
      <w:r>
        <w:rPr>
          <w:rFonts w:ascii="Arial" w:hAnsi="Arial" w:cs="Arial"/>
          <w:color w:val="000000"/>
        </w:rPr>
        <w:t xml:space="preserve"> </w:t>
      </w:r>
      <w:r>
        <w:rPr>
          <w:rFonts w:ascii="Arial" w:hAnsi="Arial" w:cs="Arial"/>
          <w:b/>
          <w:color w:val="000000"/>
        </w:rPr>
        <w:t xml:space="preserve">REGISTRO DE PREÇO PARA FUTURA E EVENTUAL AQUISIÇÃO DE EQUIPAMENTOS, FERRAMENTAS E MATERIAIS DIVERSOS PARA MARCENARIA, destinados à estrut</w:t>
      </w:r>
      <w:r>
        <w:rPr>
          <w:rFonts w:ascii="Arial" w:hAnsi="Arial" w:cs="Arial"/>
          <w:b/>
          <w:color w:val="000000"/>
        </w:rPr>
        <w:t xml:space="preserve">uração e ao funcionamento da marcenaria da Secretaria Municipal de Saúde, vinculada ao Setor de Engenharia, para atender às atividades de fabricação, montagem, manutenção, adaptação e reparo de móveis planejados e demais estruturas em madeira nas unidades </w:t>
      </w:r>
      <w:r>
        <w:rPr>
          <w:rFonts w:ascii="Arial" w:hAnsi="Arial" w:cs="Arial"/>
          <w:b/>
          <w:color w:val="000000"/>
        </w:rPr>
        <w:t xml:space="preserve">da rede municipal de saúde, conforme condições, especificações, quantidades e exigências estabelecidas neste edital e todos seus anexos.</w:t>
      </w:r>
      <w:r>
        <w:rPr>
          <w:rFonts w:ascii="Arial" w:hAnsi="Arial" w:cs="Arial"/>
          <w:bCs/>
          <w:color w:val="000000"/>
        </w:rPr>
      </w:r>
      <w:r>
        <w:rPr>
          <w:rFonts w:ascii="Arial" w:hAnsi="Arial" w:cs="Arial"/>
          <w:bCs/>
          <w:color w:val="000000"/>
        </w:rPr>
      </w:r>
    </w:p>
    <w:p>
      <w:pPr>
        <w:pStyle w:val="828"/>
        <w:pBdr/>
        <w:spacing/>
        <w:ind/>
        <w:jc w:val="both"/>
        <w:rPr>
          <w:rFonts w:ascii="Arial" w:hAnsi="Arial" w:cs="Arial"/>
          <w:bCs/>
          <w:color w:val="000000"/>
        </w:rPr>
      </w:pPr>
      <w:r>
        <w:rPr>
          <w:rFonts w:ascii="Arial" w:hAnsi="Arial" w:cs="Arial"/>
          <w:bCs/>
          <w:color w:val="000000"/>
        </w:rPr>
      </w:r>
      <w:r>
        <w:rPr>
          <w:rFonts w:ascii="Arial" w:hAnsi="Arial" w:cs="Arial"/>
          <w:bCs/>
          <w:color w:val="000000"/>
        </w:rPr>
      </w:r>
    </w:p>
    <w:p>
      <w:pPr>
        <w:pStyle w:val="979"/>
        <w:pBdr/>
        <w:spacing/>
        <w:ind/>
        <w:jc w:val="both"/>
        <w:rPr>
          <w:rFonts w:eastAsia="Verdana"/>
          <w:sz w:val="20"/>
          <w:szCs w:val="20"/>
        </w:rPr>
      </w:pPr>
      <w:r>
        <w:rPr>
          <w:rFonts w:eastAsia="Verdana"/>
          <w:b/>
          <w:sz w:val="20"/>
          <w:szCs w:val="20"/>
        </w:rPr>
        <w:t xml:space="preserve">2.2. </w:t>
      </w:r>
      <w:r>
        <w:rPr>
          <w:rFonts w:eastAsia="Verdana"/>
          <w:sz w:val="20"/>
          <w:szCs w:val="20"/>
        </w:rPr>
        <w:t xml:space="preserve">O material a ser contratado, quantidades, especificações e o valor estimado estão descrito no quadro abaixo:</w:t>
      </w:r>
      <w:r>
        <w:rPr>
          <w:rFonts w:eastAsia="Verdana"/>
          <w:sz w:val="20"/>
          <w:szCs w:val="20"/>
        </w:rPr>
      </w:r>
      <w:r>
        <w:rPr>
          <w:rFonts w:eastAsia="Verdana"/>
          <w:sz w:val="20"/>
          <w:szCs w:val="20"/>
        </w:rPr>
      </w:r>
    </w:p>
    <w:p>
      <w:pPr>
        <w:pStyle w:val="979"/>
        <w:pBdr/>
        <w:spacing/>
        <w:ind/>
        <w:jc w:val="both"/>
        <w:rPr>
          <w:rFonts w:eastAsia="Verdana"/>
          <w:b/>
          <w:sz w:val="20"/>
          <w:szCs w:val="20"/>
        </w:rPr>
      </w:pPr>
      <w:r>
        <w:rPr>
          <w:rFonts w:eastAsia="Verdana"/>
          <w:b/>
          <w:sz w:val="20"/>
          <w:szCs w:val="20"/>
        </w:rPr>
      </w:r>
      <w:r>
        <w:rPr>
          <w:rFonts w:eastAsia="Verdana"/>
          <w:b/>
          <w:sz w:val="20"/>
          <w:szCs w:val="20"/>
        </w:rPr>
      </w:r>
    </w:p>
    <w:tbl>
      <w:tblPr>
        <w:tblInd w:w="98" w:type="dxa"/>
        <w:tblW w:w="4954" w:type="pct"/>
        <w:tblCellMar>
          <w:left w:w="108" w:type="dxa"/>
          <w:top w:w="0" w:type="dxa"/>
          <w:right w:w="108" w:type="dxa"/>
          <w:bottom w:w="0" w:type="dxa"/>
        </w:tblCellMar>
        <w:tblBorders/>
        <w:tblLayout w:type="fixed"/>
        <w:tblLook w:val="04A0" w:firstRow="1" w:lastRow="0" w:firstColumn="1" w:lastColumn="0" w:noHBand="0" w:noVBand="1"/>
      </w:tblPr>
      <w:tblGrid>
        <w:gridCol w:w="590"/>
        <w:gridCol w:w="2734"/>
        <w:gridCol w:w="848"/>
        <w:gridCol w:w="501"/>
        <w:gridCol w:w="835"/>
        <w:gridCol w:w="836"/>
        <w:gridCol w:w="835"/>
        <w:gridCol w:w="898"/>
        <w:gridCol w:w="836"/>
        <w:gridCol w:w="947"/>
        <w:gridCol w:w="724"/>
      </w:tblGrid>
      <w:tr>
        <w:trPr>
          <w:trHeight w:val="480"/>
        </w:trPr>
        <w:tc>
          <w:tcPr>
            <w:shd w:val="clear" w:color="auto" w:fill="d9d9d9"/>
            <w:tcBorders>
              <w:top w:val="single" w:color="000000" w:sz="2" w:space="0"/>
              <w:left w:val="single" w:color="000000" w:sz="2" w:space="0"/>
              <w:bottom w:val="single" w:color="000000" w:sz="2" w:space="0"/>
              <w:right w:val="single" w:color="000000" w:sz="2" w:space="0"/>
            </w:tcBorders>
            <w:tcW w:w="582"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ITEM</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auto" w:sz="4" w:space="0"/>
              <w:right w:val="single" w:color="000000" w:sz="2" w:space="0"/>
            </w:tcBorders>
            <w:tcW w:w="2704"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DESCRIÇÃO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UND DE MEDIDA</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QT</w:t>
            </w:r>
            <w:r>
              <w:rPr>
                <w:rFonts w:eastAsia="Aptos Narrow"/>
                <w:b/>
                <w:bCs/>
                <w:color w:val="000000"/>
                <w:lang w:bidi="ar"/>
              </w:rPr>
              <w:t xml:space="preserve">D</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1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7"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2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3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88"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4</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7" w:type="dxa"/>
            <w:vAlign w:val="center"/>
            <w:textDirection w:val="lrTb"/>
            <w:noWrap w:val="false"/>
          </w:tcPr>
          <w:p>
            <w:pPr>
              <w:pStyle w:val="828"/>
              <w:pBdr/>
              <w:spacing/>
              <w:ind/>
              <w:jc w:val="center"/>
              <w:rPr>
                <w:rFonts w:eastAsia="Aptos Narrow"/>
                <w:b/>
                <w:bCs/>
                <w:color w:val="000000"/>
                <w:lang w:val="en-US" w:bidi="ar"/>
              </w:rPr>
            </w:pPr>
            <w:r>
              <w:rPr>
                <w:rFonts w:eastAsia="Aptos Narrow"/>
                <w:b/>
                <w:bCs/>
                <w:color w:val="000000"/>
                <w:lang w:val="en-US" w:bidi="ar"/>
              </w:rPr>
              <w:t xml:space="preserve">COTAÇÃO </w:t>
            </w:r>
            <w:r>
              <w:rPr>
                <w:rFonts w:eastAsia="Aptos Narrow"/>
                <w:b/>
                <w:bCs/>
                <w:color w:val="000000"/>
                <w:lang w:val="en-US" w:bidi="ar"/>
              </w:rPr>
            </w:r>
          </w:p>
          <w:p>
            <w:pPr>
              <w:pStyle w:val="828"/>
              <w:pBdr/>
              <w:spacing/>
              <w:ind/>
              <w:jc w:val="center"/>
              <w:rPr>
                <w:rFonts w:eastAsia="Aptos Narrow"/>
                <w:b/>
                <w:bCs/>
                <w:color w:val="000000"/>
              </w:rPr>
            </w:pPr>
            <w:r>
              <w:rPr>
                <w:rFonts w:eastAsia="Aptos Narrow"/>
                <w:b/>
                <w:bCs/>
                <w:color w:val="000000"/>
                <w:lang w:val="en-US" w:bidi="ar"/>
              </w:rPr>
              <w:t xml:space="preserve">5</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937"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MEDIA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71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TOTAL</w:t>
            </w:r>
            <w:r>
              <w:rPr>
                <w:rFonts w:eastAsia="Aptos Narrow"/>
                <w:b/>
                <w:bCs/>
                <w:color w:val="000000"/>
              </w:rPr>
            </w:r>
            <w:r>
              <w:rPr>
                <w:rFonts w:eastAsia="Aptos Narrow"/>
                <w:b/>
                <w:bCs/>
                <w:color w:val="000000"/>
              </w:rPr>
            </w:r>
          </w:p>
        </w:tc>
      </w:tr>
      <w:tr>
        <w:trPr>
          <w:trHeight w:val="48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ADESIVO HOT MELT TERMOFUSÍVEL (COLA GRANULADA), EMBALAGEM COM 2,5 KG. COR BRANCA. COMPOSIÇÃO À BASE DE EVA (ETILENO-VINIL-ACETATO), RESINAS SINTÉTICAS E AD</w:t>
            </w:r>
            <w:r>
              <w:rPr>
                <w:rFonts w:eastAsia="SimSun"/>
                <w:color w:val="000000"/>
                <w:lang w:bidi="ar"/>
              </w:rPr>
              <w:t xml:space="preserve">ITIVOS. INDICADO PARA USO </w:t>
            </w:r>
            <w:r>
              <w:rPr>
                <w:rFonts w:eastAsia="SimSun"/>
                <w:color w:val="000000"/>
                <w:lang w:bidi="ar"/>
              </w:rPr>
              <w:t xml:space="preserve">EM COLADEIRAS DE BORDA, COMPATÍVEL COM APLICAÇÃO EM BORDOS DE PVC, ABS, PAPEL, LÂMINAS DE MADEIRA E LAMINADOS MELAMÍNICOS, SOBRE MDF, MDP, AGLOMERADO, MADEIRA OU COMPENSADO. TEMPERATURA DE APLICAÇÃO COMPATÍVEL COM O EQUIPAMENTO DE BAIXA E MÉDIA VELOCIDADE.</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R$101,88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R$119,66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R$140,00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R$148,43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R$152,00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R$ 132,3940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2.647,88</w:t>
            </w:r>
            <w:r>
              <w:rPr>
                <w:rFonts w:eastAsia="Aptos Narrow"/>
                <w:color w:val="000000"/>
              </w:rPr>
            </w:r>
            <w:r>
              <w:rPr>
                <w:rFonts w:eastAsia="Aptos Narrow"/>
                <w:color w:val="000000"/>
              </w:rPr>
            </w:r>
          </w:p>
        </w:tc>
      </w:tr>
      <w:tr>
        <w:trPr>
          <w:trHeight w:val="437"/>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CANTONEIRA REFORÇADA DE METAL EM "L" COM CAPA PLÁSTICA BRANCA, MATERIAL METAL ZINCADO, COM 4 FUROS. MEDIDAS: 30MM X 30MM X 52MM (ALTURA X LARGURA</w:t>
            </w:r>
            <w:r>
              <w:rPr>
                <w:rFonts w:eastAsia="SimSun"/>
                <w:color w:val="000000"/>
                <w:lang w:bidi="ar"/>
              </w:rPr>
              <w:t xml:space="preserve"> X COMPRIMENTO).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R$1,35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R$2,05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R$2,10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R$ 2,1460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1.073,00</w:t>
            </w:r>
            <w:r>
              <w:rPr>
                <w:rFonts w:eastAsia="Aptos Narrow"/>
                <w:color w:val="000000"/>
              </w:rPr>
            </w:r>
            <w:r>
              <w:rPr>
                <w:rFonts w:eastAsia="Aptos Narrow"/>
                <w:color w:val="000000"/>
              </w:rPr>
            </w:r>
          </w:p>
        </w:tc>
      </w:tr>
      <w:tr>
        <w:trPr>
          <w:trHeight w:val="7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3</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CANTONEIRA TIPO L, MACIÇA, DIMENSÕES 13X13 MM, ACABAMENTO NIQUELADO. EMBALAGEM CONTENDO 100 UNIDADES. MATERIAL ZAMAC. COR NÍQUEL, COM 02 FUROS PARA FIXAÇÃO, CAPACIDADE DE CARGA: DEVE SUPORTAR NO MÍNIMO 25 KG.</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R$ 29,58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R$ 34,00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R$ 35,98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R$ 31,5920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4.738,80</w:t>
            </w:r>
            <w:r>
              <w:rPr>
                <w:rFonts w:eastAsia="Aptos Narrow"/>
                <w:color w:val="000000"/>
              </w:rPr>
            </w:r>
            <w:r>
              <w:rPr>
                <w:rFonts w:eastAsia="Aptos Narrow"/>
                <w:color w:val="000000"/>
              </w:rPr>
            </w:r>
          </w:p>
        </w:tc>
      </w:tr>
      <w:tr>
        <w:trPr>
          <w:trHeight w:val="9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4</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CHAPA DE COMPENSADO LAMINADO VIROLA TORNEADO, ESPESSURA 15MM, MEDIDAS: 2,20 X 1,60 METROS (COMPRIMENTO X LARGURA). LÂMINA DE REVE</w:t>
            </w:r>
            <w:r>
              <w:rPr>
                <w:rFonts w:eastAsia="SimSun"/>
                <w:color w:val="000000"/>
                <w:lang w:bidi="ar"/>
              </w:rPr>
              <w:t xml:space="preserve">STIMENTO VIROLA, COMPOSIÇÃO DO MIOLO BAJÃO E REVESTIMENTO VIROLA. </w:t>
            </w:r>
            <w:r>
              <w:rPr>
                <w:rFonts w:eastAsia="SimSun"/>
                <w:color w:val="000000"/>
                <w:lang w:val="en-US" w:bidi="ar"/>
              </w:rPr>
              <w:t xml:space="preserve">ESTRUTURA COMPENSADO LAMINADO.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R$ 184,01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R$ 211,00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R$ 249,50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R$ 224,3020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13.458,12</w:t>
            </w:r>
            <w:r>
              <w:rPr>
                <w:rFonts w:eastAsia="Aptos Narrow"/>
                <w:color w:val="000000"/>
              </w:rPr>
            </w:r>
            <w:r>
              <w:rPr>
                <w:rFonts w:eastAsia="Aptos Narrow"/>
                <w:color w:val="000000"/>
              </w:rPr>
            </w:r>
          </w:p>
        </w:tc>
      </w:tr>
      <w:tr>
        <w:trPr>
          <w:trHeight w:val="792"/>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COLA DE CONTATO, EMBALAGEM CONTENDO NO MÍNIMO 2,8 QUILOS. ADESIVO DE CONTATO, COMPOSIÇÃO: BORRACHA DE POLICLOROPRENO, RESINAS SINTÉTICAS, SOLVENTES AROMÁTICOS E ALIFÁTICOS.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140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R$ 143,99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R$ 154,88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R$ 196,55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R$ 167,4840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23.447,76</w:t>
            </w:r>
            <w:r>
              <w:rPr>
                <w:rFonts w:eastAsia="Aptos Narrow"/>
                <w:color w:val="000000"/>
              </w:rPr>
            </w:r>
            <w:r>
              <w:rPr>
                <w:rFonts w:eastAsia="Aptos Narrow"/>
                <w:color w:val="000000"/>
              </w:rPr>
            </w:r>
          </w:p>
        </w:tc>
      </w:tr>
      <w:tr>
        <w:trPr>
          <w:trHeight w:val="68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COLA INSTANTÂNEA MARCENEIRO, EMBALAGEM 100 GRAMAS. ADESIVO IN</w:t>
            </w:r>
            <w:r>
              <w:rPr>
                <w:rFonts w:eastAsia="SimSun"/>
                <w:color w:val="000000"/>
                <w:lang w:bidi="ar"/>
              </w:rPr>
              <w:t xml:space="preserve">STANTÂNEO MULTIÚSO, MÉDIA VISCOSIDADE, ALTA RESISTÊNCIA. COMPOSIÇÃO CIANOACRILATO, COR TRANSPARENTE. EMBALAGEM COM BICO APLICADOR COM PINO METÁLICO. </w:t>
            </w:r>
            <w:r>
              <w:rPr>
                <w:rFonts w:eastAsia="SimSun"/>
                <w:color w:val="000000"/>
                <w:lang w:val="en-US" w:bidi="ar"/>
              </w:rPr>
              <w:t xml:space="preserve">APLICAÇÃO: MADEIRAS, MDF, COMPENSADOS, MDP, METAIS E PLÁSTICOS.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TUBO 100 GRAMA</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R$ 24,54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R$ 25,63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R$ 27,50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R$ 24,4340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8.307,56</w:t>
            </w:r>
            <w:r>
              <w:rPr>
                <w:rFonts w:eastAsia="Aptos Narrow"/>
                <w:color w:val="000000"/>
              </w:rPr>
            </w:r>
            <w:r>
              <w:rPr>
                <w:rFonts w:eastAsia="Aptos Narrow"/>
                <w:color w:val="000000"/>
              </w:rPr>
            </w:r>
          </w:p>
        </w:tc>
      </w:tr>
      <w:tr>
        <w:trPr>
          <w:trHeight w:val="9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7</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COLADEIRA DE BORDA PORTÁTIL / MÓVEL. EQUIPAMENTO ADEQUADO PARA COLAGEM DE FITAS DE BORDA EM PVC, ABS, PAPEL E MADEIRA, SEM ADESIVO PRÉ-APLICADO, PARA USO EM PEÇAS EXCLUSIVAMENTE RETAS. DEVE PERMITIR O USO DE </w:t>
            </w:r>
            <w:r>
              <w:rPr>
                <w:rFonts w:eastAsia="SimSun"/>
                <w:color w:val="000000"/>
                <w:lang w:bidi="ar"/>
              </w:rPr>
              <w:t xml:space="preserve">FITAS COM: ESPESSURA MÍNIMA DE 0,3 MM E MÁXIMA DE 2,0 MM; LARGURA MÍNIMA DE 10 MM E MÁXIMA DE 80 MM. O EQUIPAMENTO DEVERÁ POSSUIR: DESTOPADOR MANUAL PARA CORTE DAS FITAS RENTE À BORDA DA PEÇA, NÃO SENDO EXIGIDO SISTEMA PNEUMÁTICO; CONTROLADOR DIGITAL DE TE</w:t>
            </w:r>
            <w:r>
              <w:rPr>
                <w:rFonts w:eastAsia="SimSun"/>
                <w:color w:val="000000"/>
                <w:lang w:bidi="ar"/>
              </w:rPr>
              <w:t xml:space="preserve">MPERATURA, COM FAIXA DE AJUSTE ENTRE 120 °C E 220 °C; VELOCIDADE DE AVANÇO MÍNIMA DE 5,5 M/MIN; POTÊNCIA MÍNIMA DA RESISTÊNCIA DE 1.500 W. ALIMENTAÇÃO ELÉTRICA: 220 V MONOFÁSICA OU BIVOLT. O EQUIPAMENTO DEVERÁ SER NOVO, ORIGINAL DE FÁBRICA, ACOMPANHADO DE </w:t>
            </w:r>
            <w:r>
              <w:rPr>
                <w:rFonts w:eastAsia="SimSun"/>
                <w:color w:val="000000"/>
                <w:lang w:bidi="ar"/>
              </w:rPr>
              <w:t xml:space="preserve">MANUAL EM LÍNGUA PORTUGUESA E POSSUIR GARANTIA MÍNIMA DO FABRICANTE DE 12 (DOZE) MESES.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R$ 6.990,00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R$ 8.665,22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R$ 9.860,60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R$ 9.912,54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17.800,00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R$ 10.645,6720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10.645,67</w:t>
            </w:r>
            <w:r>
              <w:rPr>
                <w:rFonts w:eastAsia="Aptos Narrow"/>
                <w:color w:val="000000"/>
              </w:rPr>
            </w:r>
            <w:r>
              <w:rPr>
                <w:rFonts w:eastAsia="Aptos Narrow"/>
                <w:color w:val="000000"/>
              </w:rPr>
            </w:r>
          </w:p>
        </w:tc>
      </w:tr>
      <w:tr>
        <w:trPr>
          <w:trHeight w:val="13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8</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COLETOR DE PÓ INDUSTRIAL PARA MARCENARIA, DESTINADO À ASPIRAÇÃO DE R</w:t>
            </w:r>
            <w:r>
              <w:rPr>
                <w:rFonts w:eastAsia="SimSun"/>
                <w:color w:val="000000"/>
                <w:lang w:bidi="ar"/>
              </w:rPr>
              <w:t xml:space="preserve">ESÍDUOS SÓLIDOS (PÓ E CAVACOS DE MADEIRA). EQUIPADO COM MOTOR ELÉTRICO DE POTÊNCIA MÍNIMA DE 2 CV, 2 POLOS, MONOFÁSICO OU TRIFÁSICO, ADEQUADO PARA USO CONTÍNUO. DEVE POSSUIR, NO MÍNIMO: ALTURA APROXIMADA MÍNIMA DE 2.000 MM; VAZÃO MÍNIMA DE 28 M³/MIN; PRESS</w:t>
            </w:r>
            <w:r>
              <w:rPr>
                <w:rFonts w:eastAsia="SimSun"/>
                <w:color w:val="000000"/>
                <w:lang w:bidi="ar"/>
              </w:rPr>
              <w:t xml:space="preserve">ÃO ESTÁTICA MÁXIMA MÍNIMA DE 270 MMCA; DUAS BOCAS DE ENTRADA, COM DIÂMETRO NOMINAL DE 100 MM CADA; CAPACIDADE MÍNIMA DO RESERVATÓRIO DE 0,15 M³ (150 LITROS); SISTEMA DE COLETA COM RESERVATÓRIO INFERIOR E</w:t>
            </w:r>
            <w:r>
              <w:rPr>
                <w:rFonts w:eastAsia="SimSun"/>
                <w:color w:val="000000"/>
                <w:lang w:bidi="ar"/>
              </w:rPr>
              <w:t xml:space="preserve">M SACO DE PANO COLETOR E SACO FILTRANTE EM TECIDO, OU SISTEMA EQUIVALENTE, ADEQUADO À RETENÇÃO DE PÓ. O EQUIPAMENTO DEVERÁ SER NOVO, ORIGINAL DE FÁBRICA, ACOMPANHADO DE MANUAL EM LÍNGUA PORTUGUESA E POSSUIR GARANTIA MÍNIMA DO FABRICANTE DE 12 (DOZE) MESES.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R$ 3.850,00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R$ 4.581,29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R$ 4.644,40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R$ 5.9</w:t>
            </w:r>
            <w:r>
              <w:rPr>
                <w:rFonts w:eastAsia="SimSun"/>
                <w:color w:val="000000"/>
                <w:lang w:val="en-US" w:bidi="ar"/>
              </w:rPr>
              <w:t xml:space="preserve">80,64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R$ 8.221,00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R$ 5.455,4660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5.455,47</w:t>
            </w:r>
            <w:r>
              <w:rPr>
                <w:rFonts w:eastAsia="Aptos Narrow"/>
                <w:color w:val="000000"/>
              </w:rPr>
            </w:r>
            <w:r>
              <w:rPr>
                <w:rFonts w:eastAsia="Aptos Narrow"/>
                <w:color w:val="000000"/>
              </w:rPr>
            </w:r>
          </w:p>
        </w:tc>
      </w:tr>
      <w:tr>
        <w:trPr>
          <w:trHeight w:val="29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9</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COMPRESSOR DE AR ALTERNATIVO LUBRIFICADO, COM RESERVATÓRIO HORIZONTAL DE CAPACIDADE MÍNIMA DE 110 LITROS. EQUIPADO COM: MOTOR ELÉTRICO MONOFÁSICO, COM POTÊNCIA DE NO MÍNIMO 2CV (1,49 KW), DOTADO DE PROTETOR T</w:t>
            </w:r>
            <w:r>
              <w:rPr>
                <w:rFonts w:eastAsia="SimSun"/>
                <w:color w:val="000000"/>
                <w:lang w:bidi="ar"/>
              </w:rPr>
              <w:t xml:space="preserve">ÉRMICO; PRESSÃO MÁXIMA DE TRABALHO MÍNIMA DE 9,6 BAR; TRANSMISSÃO POR CORREIA; BLOCO COMPRESSOR EM FERRO FUNDIDO, COM SISTEMA DE TRABALHO EM V; SISTEMA DE LUBRIFICAÇÃO A ÓLEO. DEVERÁ CONTER, NO MÍNIMO: VÁLVULA DE RETENÇÃO; DRENO (VÁLVULA PURGADORA); PRESSO</w:t>
            </w:r>
            <w:r>
              <w:rPr>
                <w:rFonts w:eastAsia="SimSun"/>
                <w:color w:val="000000"/>
                <w:lang w:bidi="ar"/>
              </w:rPr>
              <w:t xml:space="preserve">STATO; MANÔMETRO; VÁLVULA DE SEGURANÇA; FILTROS DE AR; SERPENTINA ALETADA; REGISTRO DE SAÍDA DE AR; S</w:t>
            </w:r>
            <w:r>
              <w:rPr>
                <w:rFonts w:eastAsia="SimSun"/>
                <w:color w:val="000000"/>
                <w:lang w:bidi="ar"/>
              </w:rPr>
              <w:t xml:space="preserve">ISTEMA DE PROTEÇÃO DUPLA NAS PARTES GIRANTES. O EQUIPAMENTO DEVERÁ SER FORNECIDO COM: PRONTUÁRIO DE VASO DE PRESSÃO;  FICHA DE MANUTENÇÃO E TROCA DE ÓLEO; MANUAL DE INSTRUÇÕES EM PORTUGUÊS E CERTIFICADO DE GARANTIA, COM GARANTIA MÍNIMA DE 12 (DOZE) MESES. </w:t>
            </w:r>
            <w:r>
              <w:rPr>
                <w:rFonts w:eastAsia="SimSun"/>
                <w:color w:val="000000"/>
                <w:lang w:val="en-US" w:bidi="ar"/>
              </w:rPr>
              <w:t xml:space="preserve">ALIMENTAÇÃO ELÉTRICA 110/220 V OU BIVOLT.</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R$ 2.566,81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R$ 2.832,38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R$ 3.478,75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R$ 3.595,64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R$ 3.054,7160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3.054,72</w:t>
            </w:r>
            <w:r>
              <w:rPr>
                <w:rFonts w:eastAsia="Aptos Narrow"/>
                <w:color w:val="000000"/>
              </w:rPr>
            </w:r>
            <w:r>
              <w:rPr>
                <w:rFonts w:eastAsia="Aptos Narrow"/>
                <w:color w:val="000000"/>
              </w:rPr>
            </w:r>
          </w:p>
        </w:tc>
      </w:tr>
      <w:tr>
        <w:trPr>
          <w:trHeight w:val="13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10</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CORREDIÇA TE</w:t>
            </w:r>
            <w:r>
              <w:rPr>
                <w:rFonts w:eastAsia="SimSun"/>
                <w:color w:val="000000"/>
                <w:lang w:bidi="ar"/>
              </w:rPr>
              <w:t xml:space="preserve">LESCÓPICA, COMPRIMENTO NOMINAL DE 350MM. EMBALAGEM CONTENDO 1 PAR. CONFECCIONADA EM AÇO, COM ACABAMENTO ZINCADO, DE ASPECTO ACETINADO NA COR PRATA. SISTEMA TELESCÓPICO COM ABERTURA TOTAL. CAPACIDADE MÍNIMA DE CARGA DE 30 KG POR PAR.</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R$ 41,46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R$ 19,6900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7.088,40</w:t>
            </w:r>
            <w:r>
              <w:rPr>
                <w:rFonts w:eastAsia="Aptos Narrow"/>
                <w:color w:val="000000"/>
              </w:rPr>
            </w:r>
            <w:r>
              <w:rPr>
                <w:rFonts w:eastAsia="Aptos Narrow"/>
                <w:color w:val="000000"/>
              </w:rPr>
            </w:r>
          </w:p>
        </w:tc>
      </w:tr>
      <w:tr>
        <w:trPr>
          <w:trHeight w:val="7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11</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CORREDIÇA TELESCÓPICA, COMPRIMENTO NOMINAL DE 400MM. EMBALAGEM CONTENDO 1 PAR. CONFECCIONADA EM AÇO, COM ACABAMENTO ZINCADO, COR PRATA. DESTINADA A  FIXAÇÃO LATERAL, ALTURA APROXIMADA DE 42 MM, C</w:t>
            </w:r>
            <w:r>
              <w:rPr>
                <w:rFonts w:eastAsia="SimSun"/>
                <w:color w:val="000000"/>
                <w:lang w:bidi="ar"/>
              </w:rPr>
              <w:t xml:space="preserve">OMPATÍVEL COM CORREDIÇA TELESCÓPICA LATERAL DE 400 MM. CAPACIDADE MÍNIMA DE CARGA DE 30 KG POR PAR. DISPOSITIVO DE RETENÇÃO NA POSIÇÃO FECHADA, POR BORRACHA, BATENTE OU SISTEMA EQUIVALENTE, GARANTINDO A PERMANÊNCIA DA GAVETA FECHADA.</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R$ 10,51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R$ 26,00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18.700,00</w:t>
            </w:r>
            <w:r>
              <w:rPr>
                <w:rFonts w:eastAsia="Aptos Narrow"/>
                <w:color w:val="000000"/>
              </w:rPr>
            </w:r>
            <w:r>
              <w:rPr>
                <w:rFonts w:eastAsia="Aptos Narrow"/>
                <w:color w:val="000000"/>
              </w:rPr>
            </w:r>
          </w:p>
        </w:tc>
      </w:tr>
      <w:tr>
        <w:trPr>
          <w:trHeight w:val="562"/>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12</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DOBRADIÇA CURVA (OU ALTA) PARA MÓVEIS, COM SISTEMA DE AMORTECIMENTO (SLOW MOTION) EMBUTIDO NO BRAÇO. DIÂMETRO DO CANECO: 35MM. CALÇO: H2 (ALTURA 2MM) COM SISTEMA DE FIXAÇÃO SLIDE-ON. TIPO DE </w:t>
            </w:r>
            <w:r>
              <w:rPr>
                <w:rFonts w:eastAsia="SimSun"/>
                <w:color w:val="000000"/>
                <w:lang w:bidi="ar"/>
              </w:rPr>
              <w:t xml:space="preserve">FECHAMENTO: PRESSÃO/AUTOMÁTICO. MATERIAL: AÇO. ACABAMENTO: NIQUELADO (CROMADO). COMPATÍVEL COM ESPESSURA DE PORTA DE 16MM A 26MM. ÂNGULO DE ABERTURA: 105° OU SUPERIOR.</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R$ 5,98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R$ 6,45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R$ 6,61 </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R$ 6,72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R$ 6,79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6.510,00</w:t>
            </w:r>
            <w:r>
              <w:rPr>
                <w:rFonts w:eastAsia="Aptos Narrow"/>
                <w:color w:val="000000"/>
              </w:rPr>
            </w:r>
            <w:r>
              <w:rPr>
                <w:rFonts w:eastAsia="Aptos Narrow"/>
                <w:color w:val="000000"/>
              </w:rPr>
            </w:r>
          </w:p>
        </w:tc>
      </w:tr>
      <w:tr>
        <w:trPr>
          <w:trHeight w:val="607"/>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13</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ESQUADR</w:t>
            </w:r>
            <w:r>
              <w:rPr>
                <w:rFonts w:eastAsia="SimSun"/>
                <w:color w:val="000000"/>
                <w:lang w:bidi="ar"/>
              </w:rPr>
              <w:t xml:space="preserve">EJADEIRA COM EIXO INCLINÁVEL  - MOTOR MONOFÁSICO DE NO MÍNIMO 3 CV – 2 POLOS (PADRÃO); DIMENSÕES MÍNIMAS DA MESA MÓVEL DE 1300X 850 MM; CAPACIDADE DE CORTE DE NO MÍNIMO 3.000 MM; DIMENSÕES MÍNIMAS DA MESA FIXA DE 810X 600 MM; DIÂMETRO MÁXIMO DA SERRA 350 M</w:t>
            </w:r>
            <w:r>
              <w:rPr>
                <w:rFonts w:eastAsia="SimSun"/>
                <w:color w:val="000000"/>
                <w:lang w:bidi="ar"/>
              </w:rPr>
              <w:t xml:space="preserve">M; INCLINAÇÃO 45°; LARGURA DE CORTE DA MESA FIXA 1.030 MM; COMPRIMENTO DA GUIA EM ALUMÍNIO DE NO MÍNIMO 2.580 MM; ALTURA MÁXIMA DE CORTE 90º DE NO MÍNIMO 80 MM; ALTURA MÁXIMA DE CORTE 45° DE NO MÍNIMO 70 MM; PROLONGADOR DA MESA FIXA  DE NO MÍNIMO 550 MM.</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R$ 16.908,34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18.220,33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R$ 19.331,10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R$ 27.300,00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42.500,01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R$ 24.851,9560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24.851,96</w:t>
            </w:r>
            <w:r>
              <w:rPr>
                <w:rFonts w:eastAsia="Aptos Narrow"/>
                <w:color w:val="000000"/>
              </w:rPr>
            </w:r>
            <w:r>
              <w:rPr>
                <w:rFonts w:eastAsia="Aptos Narrow"/>
                <w:color w:val="000000"/>
              </w:rPr>
            </w:r>
          </w:p>
        </w:tc>
      </w:tr>
      <w:tr>
        <w:trPr>
          <w:trHeight w:val="6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14</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FECHADURA PARA GAVETA, MEDIDAS: 32X17MM. MATERIAL AÇO / ZAMAK, COR PRATA, ACABAMENTO NIQUELADO. TIPO DE CHAVE FIXA COM ACABAMENTO EM PLÁSTICO POLIDO. ROTAÇ</w:t>
            </w:r>
            <w:r>
              <w:rPr>
                <w:rFonts w:eastAsia="SimSun"/>
                <w:color w:val="000000"/>
                <w:lang w:bidi="ar"/>
              </w:rPr>
              <w:t xml:space="preserve">ÃO DA CHAVE 180º.</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R$ 13,85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R$ 18,00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R$ 17,6100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8.805,00</w:t>
            </w:r>
            <w:r>
              <w:rPr>
                <w:rFonts w:eastAsia="Aptos Narrow"/>
                <w:color w:val="000000"/>
              </w:rPr>
            </w:r>
            <w:r>
              <w:rPr>
                <w:rFonts w:eastAsia="Aptos Narrow"/>
                <w:color w:val="000000"/>
              </w:rPr>
            </w:r>
          </w:p>
        </w:tc>
      </w:tr>
      <w:tr>
        <w:trPr>
          <w:trHeight w:val="283"/>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15</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0,40 MM. ROLO MEDIDAS: 22MM X 300M. </w:t>
            </w:r>
            <w:r>
              <w:rPr>
                <w:rFonts w:eastAsia="SimSun"/>
                <w:color w:val="000000"/>
                <w:lang w:val="en-US" w:bidi="ar"/>
              </w:rPr>
              <w:t xml:space="preserve">COR BRANCO,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70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R$ 90,18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R$ 116,00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R$ 130,4360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9.130,52</w:t>
            </w:r>
            <w:r>
              <w:rPr>
                <w:rFonts w:eastAsia="Aptos Narrow"/>
                <w:color w:val="000000"/>
              </w:rPr>
            </w:r>
            <w:r>
              <w:rPr>
                <w:rFonts w:eastAsia="Aptos Narrow"/>
                <w:color w:val="000000"/>
              </w:rPr>
            </w:r>
          </w:p>
        </w:tc>
      </w:tr>
      <w:tr>
        <w:trPr>
          <w:trHeight w:val="43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16</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0,40 MM. ROLO MEDIDAS: 65MM X 20M. </w:t>
            </w:r>
            <w:r>
              <w:rPr>
                <w:rFonts w:eastAsia="SimSun"/>
                <w:color w:val="000000"/>
                <w:lang w:val="en-US" w:bidi="ar"/>
              </w:rPr>
              <w:t xml:space="preserve">COR BRANCO,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R$ 46,67</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R$ 70,99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R$ 88,03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R$ 53,6380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16.091,40</w:t>
            </w:r>
            <w:r>
              <w:rPr>
                <w:rFonts w:eastAsia="Aptos Narrow"/>
                <w:color w:val="000000"/>
              </w:rPr>
            </w:r>
            <w:r>
              <w:rPr>
                <w:rFonts w:eastAsia="Aptos Narrow"/>
                <w:color w:val="000000"/>
              </w:rPr>
            </w:r>
          </w:p>
        </w:tc>
      </w:tr>
      <w:tr>
        <w:trPr>
          <w:trHeight w:val="8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17</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w:t>
            </w:r>
            <w:r>
              <w:rPr>
                <w:rFonts w:eastAsia="SimSun"/>
                <w:color w:val="000000"/>
                <w:lang w:bidi="ar"/>
              </w:rPr>
              <w:t xml:space="preserve">SURA 0,45 MM. ROLO MEDIDAS: 22MM X 20MT. COR PADRÃO TONALIDADE MARROM DOURADO,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480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R$ 49,94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R$ 59,1880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28.410,24</w:t>
            </w:r>
            <w:r>
              <w:rPr>
                <w:rFonts w:eastAsia="Aptos Narrow"/>
                <w:color w:val="000000"/>
              </w:rPr>
            </w:r>
            <w:r>
              <w:rPr>
                <w:rFonts w:eastAsia="Aptos Narrow"/>
                <w:color w:val="000000"/>
              </w:rPr>
            </w:r>
          </w:p>
        </w:tc>
      </w:tr>
      <w:tr>
        <w:trPr>
          <w:trHeight w:val="8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FURADEIRA DE BANCADA COM AJUSTE DE ALTURA, MOTOR COM POTÊNCIA DE N</w:t>
            </w:r>
            <w:r>
              <w:rPr>
                <w:rFonts w:eastAsia="SimSun"/>
                <w:color w:val="000000"/>
                <w:lang w:bidi="ar"/>
              </w:rPr>
              <w:t xml:space="preserve">O MÍNIMO 1/2 HP; ROTAÇÃO 1.740 RPM / 60HZ; MANDRIL DE 5/8 POLEGADAS, CAPACIDADE DE PERFURAÇÃO DE 16 MM E PROFUNDIDADE DE 110MM OU SUPERIOR. DIMENSÕES DA MESA DE NO MÍNIMO: 200 X 190 MM, VOLTAGEM TRIFÁSICO. DESIGN ERGONÔMICO. NA EMBALAGEM DEVERÁ TER IDENTIF</w:t>
            </w:r>
            <w:r>
              <w:rPr>
                <w:rFonts w:eastAsia="SimSun"/>
                <w:color w:val="000000"/>
                <w:lang w:bidi="ar"/>
              </w:rPr>
              <w:t xml:space="preserve">ICAÇÃO DO FABRICANTE, CARACTERÍSTICAS DO PRODUTO E ACESSÓRIOS. </w:t>
            </w:r>
            <w:r>
              <w:rPr>
                <w:rFonts w:eastAsia="SimSun"/>
                <w:color w:val="000000"/>
                <w:lang w:val="en-US" w:bidi="ar"/>
              </w:rPr>
              <w:t xml:space="preserve">GARANTIA MINIMA DE 12 MESES DO FABRICANTE.</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R$ 1.435,50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R$ 1.508,00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R$ 1.547,00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R$ 1.659,00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R$ 1.522,9000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1.522,90</w:t>
            </w:r>
            <w:r>
              <w:rPr>
                <w:rFonts w:eastAsia="Aptos Narrow"/>
                <w:color w:val="000000"/>
              </w:rPr>
            </w:r>
            <w:r>
              <w:rPr>
                <w:rFonts w:eastAsia="Aptos Narrow"/>
                <w:color w:val="000000"/>
              </w:rPr>
            </w:r>
          </w:p>
        </w:tc>
      </w:tr>
      <w:tr>
        <w:trPr>
          <w:trHeight w:val="78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19</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FURADEIRA E PARAFUSADEIRA DE IMPACTO A BATERIA, T</w:t>
            </w:r>
            <w:r>
              <w:rPr>
                <w:rFonts w:eastAsia="SimSun"/>
                <w:color w:val="000000"/>
                <w:lang w:bidi="ar"/>
              </w:rPr>
              <w:t xml:space="preserve">ENSÃO DA BATERIA DE 20V MAX (18V NOMINAL) OU EQUIVALENTE; TORQUE MÁXIMO MÍNIMO DE 60 NM; VELOCIDADE SEM CARGA: 0-600 / 0-2.000 RPM; IMPACTOS POR MINUTO: 0-10.200 / 0-34.000 IPM; MADRIL DE APERTO RÁPIDO: 1/2" (13MM). FUNÇÕES: PARAFUSADEIRA, FURADEIRA E FURA</w:t>
            </w:r>
            <w:r>
              <w:rPr>
                <w:rFonts w:eastAsia="SimSun"/>
                <w:color w:val="000000"/>
                <w:lang w:bidi="ar"/>
              </w:rPr>
              <w:t xml:space="preserve">DEIRA COM IMPACTO; NÚMERO DE VELOCIDADE MECÂNI</w:t>
            </w:r>
            <w:r>
              <w:rPr>
                <w:rFonts w:eastAsia="SimSun"/>
                <w:color w:val="000000"/>
                <w:lang w:bidi="ar"/>
              </w:rPr>
              <w:t xml:space="preserve">CAS: 2. CAPACIDADES MÁXIMAS APROPRIADAS DE PERFURAÇÃO: MADEIRA 38MM; AÇO 13MM; ALVENARIA 13MM.  ITENS INCLUSOS NO KIT: 2 BATERIAS 20V MAX E 18V NOMINAL; 1 CARREGADOR COMPATÍVEL; 1 MALETA PLÁSTICA PARA TRANSPORTE; MANUAL DE INSTRUÇÕES EM LÍNGUA PORTUGUESA. </w:t>
            </w:r>
            <w:r>
              <w:rPr>
                <w:rFonts w:eastAsia="SimSun"/>
                <w:color w:val="000000"/>
                <w:lang w:val="en-US" w:bidi="ar"/>
              </w:rPr>
              <w:t xml:space="preserve">GARANTIA DE NO MÍNIMO 12 MESES. </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R$ 1.179,00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R$ 1.229,99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R$ 1.256,87</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R$ 1.285,00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R$ 1.295,00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R$ 1.249,1720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7.495,03</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20</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MARTELETE EM AÇO, TIPO PERFURADOR ROMPEDOR, COM POTÊNCIA DE NO MÍNIMO 800 WA</w:t>
            </w:r>
            <w:r>
              <w:rPr>
                <w:rFonts w:eastAsia="SimSun"/>
                <w:color w:val="000000"/>
                <w:lang w:bidi="ar"/>
              </w:rPr>
              <w:t xml:space="preserve">TTS, COM CAPACIDADE DE IMPACTO DE NO MÍNIMO 2,9J, NA VOLTAGEM 220 VOLTS OU BIVOLT, ACOMPANHAR MANDRIL SDS-PLUS E MALETA PARA ACONDICIONAMENTO ADEQUADO.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R$ 760,32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R$ 798,67</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R$ 930,00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R$ 981,00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R$ 893,9980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4.469,99</w:t>
            </w:r>
            <w:r>
              <w:rPr>
                <w:rFonts w:eastAsia="Aptos Narrow"/>
                <w:color w:val="000000"/>
              </w:rPr>
            </w:r>
            <w:r>
              <w:rPr>
                <w:rFonts w:eastAsia="Aptos Narrow"/>
                <w:color w:val="000000"/>
              </w:rPr>
            </w:r>
          </w:p>
        </w:tc>
      </w:tr>
      <w:tr>
        <w:trPr>
          <w:trHeight w:val="215"/>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21</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25 MM (DIÂMETRO X COMPRIMENTO). EMBALAGEM COM 1.000 (MIL)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R$ 44,00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R$ 68,50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R$ 69,25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R$ 93,16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R$ 65,9820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11.876,76</w:t>
            </w:r>
            <w:r>
              <w:rPr>
                <w:rFonts w:eastAsia="Aptos Narrow"/>
                <w:color w:val="000000"/>
              </w:rPr>
            </w:r>
            <w:r>
              <w:rPr>
                <w:rFonts w:eastAsia="Aptos Narrow"/>
                <w:color w:val="000000"/>
              </w:rPr>
            </w:r>
          </w:p>
        </w:tc>
      </w:tr>
      <w:tr>
        <w:trPr>
          <w:trHeight w:val="6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22</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w:t>
            </w:r>
            <w:r>
              <w:rPr>
                <w:rFonts w:eastAsia="SimSun"/>
                <w:color w:val="000000"/>
                <w:lang w:bidi="ar"/>
              </w:rPr>
              <w:t xml:space="preserve">SCA CHIPBOARD CABEÇA CHATA, MEDIDAS 3,5 X 35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R$ 41,75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R$ 48,3500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2.901,00</w:t>
            </w:r>
            <w:r>
              <w:rPr>
                <w:rFonts w:eastAsia="Aptos Narrow"/>
                <w:color w:val="000000"/>
              </w:rPr>
            </w:r>
            <w:r>
              <w:rPr>
                <w:rFonts w:eastAsia="Aptos Narrow"/>
                <w:color w:val="000000"/>
              </w:rPr>
            </w:r>
          </w:p>
        </w:tc>
      </w:tr>
      <w:tr>
        <w:trPr>
          <w:trHeight w:val="6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23</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40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R$ 30,11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R$ 32,30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R$ 33,99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R$ 36,19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R$ 32,5180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5.853,24</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24</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w:t>
            </w:r>
            <w:r>
              <w:rPr>
                <w:rFonts w:eastAsia="SimSun"/>
                <w:color w:val="000000"/>
                <w:lang w:bidi="ar"/>
              </w:rPr>
              <w:t xml:space="preserve">ABEÇA CHATA, MEDIDAS 4 X 16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R$ 23,52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R$ 28,10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R$ 29,85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R$ 25,4940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7.648,20</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25</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4 X 25 MM (DIÂMETRO X COMPRIMENTO). EMBALAGEM COM 1.000 (MIL)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R$ 54,90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R$ 89,76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R$ 62,3320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14.959,68</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26</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w:t>
            </w:r>
            <w:r>
              <w:rPr>
                <w:rFonts w:eastAsia="SimSun"/>
                <w:color w:val="000000"/>
                <w:lang w:bidi="ar"/>
              </w:rPr>
              <w:t xml:space="preserve">TA, MEDIDAS 4 X 40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R$ 56,71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R$ 62,3420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3.740,52</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27</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6 X 50 MM (DIÂMETRO X COMPRIMENTO). EMBALAGEM COM 200 UNIDADES. PADRÃO DE ENCAIXE PHILLIPS. MATERIAL AÇO CARBONO COM ACABAMENTO BICROMATIZADO, TRATAMENTO CEMENTADO.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R$ 42,95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R$ 46,80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R$ 47,40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R$ 47,8300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2.869,80</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28</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w:t>
            </w:r>
            <w:r>
              <w:rPr>
                <w:rFonts w:eastAsia="SimSun"/>
                <w:color w:val="000000"/>
                <w:lang w:bidi="ar"/>
              </w:rPr>
              <w:t xml:space="preserve">USO ROSCA CHIPBOARD CABEÇA CHATA, MEDIDAS 6 X 60 MM (DIÂMETRO X COMPRIMENTO). EMBALAGEM COM 200 UNIDADES. PADRÃO DE ENCAIXE PHILLIPS. MATERIAL AÇO CARBONO COM ACABAMENTO BICROMATIZADO, TRATAMENTO CEMENTADO.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R$ 66,30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R$ 67,80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R$ 93,8200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5.629,20</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29</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PLACA DE MDF COM ESPESSURA 15MM 2 FACES. COR PADRÃO BRANCO TX, ACABAMENTO TEXTURIZADO. MEDIDAS MÍNIMAS: 2.750 X 1.850 X 15 MM (COMPRIMENTO X LARGURA X ESPESSURA). ACABAMENTO: REVESTIMENTO MELAMÍNICO DE BAIXA PRESSÃO (BP</w:t>
            </w:r>
            <w:r>
              <w:rPr>
                <w:rFonts w:eastAsia="SimSun"/>
                <w:color w:val="000000"/>
                <w:lang w:bidi="ar"/>
              </w:rPr>
              <w:t xml:space="preserve">) NAS DUAS FACES CONFORME PADRÃO INDICADO. GARANTIA DO FABRICANTE DE NO MÍNIMO 90 DIAS CONTRA VÍCIOS OU DEFEITOS DE FABRICAÇÃO.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704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R$ 247,50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R$ 268,33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R$ 282,52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R$ 443,33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R$ 308,3360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217.068,54</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30</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PLACA DE MDF COM ESPESSURA 15MM 2 FA</w:t>
            </w:r>
            <w:r>
              <w:rPr>
                <w:rFonts w:eastAsia="SimSun"/>
                <w:color w:val="000000"/>
                <w:lang w:bidi="ar"/>
              </w:rPr>
              <w:t xml:space="preserve">CES. COR PADRÃO TONALIDADE MARROM DOURADO, ACABAMENTO QUE SIMULA A MADEIRA NOGUEIRA, TEXTURA LINEA. MEDIDAS MÍNIMAS: 2.750 X 1.850 X 15 MM (COMPRIMENTO X LARGURA X ESPESSURA). COMPOSIÇÃO FIBRA DE EUCALIPTO. GARANTIA DO FABRICANTE DE NO MÍNIMO 90 DIAS CONTR</w:t>
            </w:r>
            <w:r>
              <w:rPr>
                <w:rFonts w:eastAsia="SimSun"/>
                <w:color w:val="000000"/>
                <w:lang w:bidi="ar"/>
              </w:rPr>
              <w:t xml:space="preserve">A VÍCIOS OU DEFEITOS DE FABRICAÇÃO.</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1104</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R$ 230,00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R$ 260,00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R$ 333,00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R$ 418,15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R$ 574,16</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R$ 363,0620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400.820,45</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31</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PLACA DE MDF ESPESSURA 6MM 2 FACES. COR PADRÃO BRANCO TX, ACABAMENTO TEXTURIZADO. ME</w:t>
            </w:r>
            <w:r>
              <w:rPr>
                <w:rFonts w:eastAsia="SimSun"/>
                <w:color w:val="000000"/>
                <w:lang w:bidi="ar"/>
              </w:rPr>
              <w:t xml:space="preserve">DIDAS MÍNIMAS: 2.750 X 1.850 X 6 MM (COMPRIMENTO X LARGURA X ESPESSURA). ACABAMENTO: REVESTIMENTO MELAMÍNICO DE BAIXA PRESSÃO (BP) NAS DUAS FACES CONFORME PADRÃO INDICADO. GARANTIA DO FABRICANTE DE NO MÍNIMO 90 DIAS CONTRA VÍCIOS OU DEFEITOS DE FABRICAÇÃO.</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450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R$ 178,00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R$ 230,00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R$ 255,00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R$ 257,25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R$ 369,00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R$ 257,8500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116.032,50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32</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PLAINA ELÉTRICA PARA MADEIRA, POTÊNCIA DE NO MÍNIMO 550W E 17000 RPM OU SUPERIOR; LARGURA MÍNIMA DA LÂMINA DE 82MM; TENSÃO BIVOLT.</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1</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R$ 558,15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R$ 592,00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R$ 888,00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R$ 1.183,84</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R$ 1.749,99</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R$ 994,3960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 994,40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33</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SAPATA NIVELADORA REGULÁVEL PARA MÓVEIS, ROSCA 5/16" X 1", COM BUCHA COMPATÍVEL, BASE COM DIÂMETRO/SEÇÃO APROXIMADA DE 31 MM, ALTURA MÁXIMA APROXIMADA DE 40 MM, COM REGULAGEM DE ALTURA, MATERIAL AÇO / ZAMAC, ACABAMENTO ZINCADO, PRÓPRIA PARA</w:t>
            </w:r>
            <w:r>
              <w:rPr>
                <w:rFonts w:eastAsia="SimSun"/>
                <w:color w:val="000000"/>
                <w:lang w:bidi="ar"/>
              </w:rPr>
              <w:t xml:space="preserve"> CORREÇÃO DE DESNÍVEL E APOIO DE MÓVEIS.</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R$ 3,38</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R$ 4,70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R$ 4,80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R$ 5,30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R$ 5,55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R$ 5,2860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10.572,00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34</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val="en-US" w:bidi="ar"/>
              </w:rPr>
            </w:pPr>
            <w:r>
              <w:rPr>
                <w:rFonts w:eastAsia="SimSun"/>
                <w:color w:val="000000"/>
                <w:lang w:bidi="ar"/>
              </w:rPr>
              <w:t xml:space="preserve">SE</w:t>
            </w:r>
            <w:r>
              <w:rPr>
                <w:rFonts w:eastAsia="SimSun"/>
                <w:color w:val="000000"/>
                <w:lang w:bidi="ar"/>
              </w:rPr>
              <w:t xml:space="preserve">RRA ELÉTRICA MODELO TICO-TICO, POTÊNCIA DE NO MÍNIMO 650W, ROTAÇÃO DE 500 A 3100 RPM SEM CARGA, COM CAPACIDADE DE CORTE DE NO MÍNIMO: MADEIRA 120MM, ALUMÍNIO 20MM E AÇO 10MM. TENSÃO DE 220V OU BIVOLT. ACONDICIONADA EM EMBALAGEM ADEQUADA PARA O TRANSPORTE. </w:t>
            </w:r>
            <w:r>
              <w:rPr>
                <w:rFonts w:eastAsia="SimSun"/>
                <w:color w:val="000000"/>
                <w:lang w:val="en-US" w:bidi="ar"/>
              </w:rPr>
              <w:t xml:space="preserve">MANUAL DE INSTRUÇÕES EM PORTUGUÊS E CERTIFICADO DE GARANTIA.</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R$ 556,50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R$ 562,00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R$ 630,00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R$ 858,00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R$ 944,99</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R$ 710,2980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 1.420,60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35</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SERRA ESQUADRIA 10", POTÊNCIA DE NO MÍNIMO 1650 WATTS, VOLTAGEM 127V OU BIVOLT. MANUAL DE INSTRUÇÕES EM PORTUGUÊS E CERTIFICADO DE GARANTIA.</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R$ 1.501,00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R$ 1.518,28</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R$ 2.050,00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R$ 2.410,00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R$ 2.978,00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R$ 2.091,4560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4.182,91</w:t>
            </w:r>
            <w:r>
              <w:rPr>
                <w:rFonts w:eastAsia="Aptos Narrow"/>
                <w:color w:val="000000"/>
                <w:highlight w:val="green"/>
                <w:lang w:val="en-US" w:bidi="ar"/>
              </w:rPr>
            </w:r>
            <w:r>
              <w:rPr>
                <w:rFonts w:eastAsia="Aptos Narrow"/>
                <w:color w:val="000000"/>
                <w:highlight w:val="green"/>
                <w:lang w:val="en-US" w:bidi="ar"/>
              </w:rPr>
            </w:r>
          </w:p>
        </w:tc>
      </w:tr>
    </w:tbl>
    <w:p>
      <w:pPr>
        <w:pStyle w:val="979"/>
        <w:pBdr/>
        <w:spacing/>
        <w:ind/>
        <w:jc w:val="both"/>
        <w:rPr>
          <w:rFonts w:eastAsia="Verdana"/>
          <w:b/>
          <w:sz w:val="20"/>
          <w:szCs w:val="20"/>
        </w:rPr>
      </w:pPr>
      <w:r>
        <w:rPr>
          <w:rFonts w:eastAsia="Verdana"/>
          <w:b/>
          <w:sz w:val="20"/>
          <w:szCs w:val="20"/>
        </w:rPr>
      </w:r>
      <w:r>
        <w:rPr>
          <w:rFonts w:eastAsia="Verdana"/>
          <w:b/>
          <w:sz w:val="20"/>
          <w:szCs w:val="20"/>
        </w:rPr>
      </w:r>
    </w:p>
    <w:p>
      <w:pPr>
        <w:pStyle w:val="979"/>
        <w:pBdr/>
        <w:spacing/>
        <w:ind/>
        <w:jc w:val="both"/>
        <w:rPr>
          <w:rFonts w:eastAsia="Verdana"/>
          <w:b/>
          <w:sz w:val="20"/>
          <w:szCs w:val="20"/>
        </w:rPr>
      </w:pPr>
      <w:r>
        <w:rPr>
          <w:rFonts w:eastAsia="Verdana"/>
          <w:b/>
          <w:sz w:val="20"/>
          <w:szCs w:val="20"/>
        </w:rPr>
      </w:r>
      <w:r>
        <w:rPr>
          <w:rFonts w:eastAsia="Verdana"/>
          <w:b/>
          <w:sz w:val="20"/>
          <w:szCs w:val="20"/>
        </w:rPr>
      </w:r>
    </w:p>
    <w:p>
      <w:pPr>
        <w:pStyle w:val="979"/>
        <w:pBdr/>
        <w:spacing/>
        <w:ind/>
        <w:jc w:val="both"/>
        <w:rPr>
          <w:b/>
          <w:sz w:val="20"/>
          <w:szCs w:val="20"/>
        </w:rPr>
      </w:pPr>
      <w:r>
        <w:rPr>
          <w:rFonts w:eastAsia="Verdana"/>
          <w:b/>
          <w:sz w:val="20"/>
          <w:szCs w:val="20"/>
        </w:rPr>
        <w:t xml:space="preserve">2.3. </w:t>
      </w:r>
      <w:r>
        <w:rPr>
          <w:sz w:val="20"/>
          <w:szCs w:val="20"/>
        </w:rPr>
        <w:t xml:space="preserve">Valor total estimado é de </w:t>
      </w:r>
      <w:r>
        <w:rPr>
          <w:b/>
          <w:sz w:val="20"/>
          <w:szCs w:val="20"/>
        </w:rPr>
        <w:t xml:space="preserve">R$ 1.012.474,21 (UM MILHÃO DOZE MIL QUATROCENTOS E SETENTA E QUATRO REAIS E VINTE E UM CENTAVOS)</w:t>
      </w:r>
      <w:r>
        <w:rPr>
          <w:b/>
          <w:sz w:val="20"/>
          <w:szCs w:val="20"/>
        </w:rPr>
      </w:r>
      <w:r>
        <w:rPr>
          <w:b/>
          <w:sz w:val="20"/>
          <w:szCs w:val="20"/>
        </w:rPr>
      </w:r>
    </w:p>
    <w:p>
      <w:pPr>
        <w:pStyle w:val="979"/>
        <w:pBdr/>
        <w:spacing/>
        <w:ind/>
        <w:jc w:val="both"/>
        <w:rPr>
          <w:b/>
          <w:sz w:val="20"/>
          <w:szCs w:val="20"/>
        </w:rPr>
      </w:pPr>
      <w:r>
        <w:rPr>
          <w:b/>
          <w:sz w:val="20"/>
          <w:szCs w:val="20"/>
        </w:rPr>
      </w:r>
      <w:r>
        <w:rPr>
          <w:b/>
          <w:sz w:val="20"/>
          <w:szCs w:val="20"/>
        </w:rPr>
      </w:r>
    </w:p>
    <w:p>
      <w:pPr>
        <w:pStyle w:val="979"/>
        <w:pBdr/>
        <w:spacing/>
        <w:ind/>
        <w:jc w:val="both"/>
        <w:rPr>
          <w:b/>
          <w:sz w:val="20"/>
          <w:szCs w:val="20"/>
        </w:rPr>
      </w:pPr>
      <w:r>
        <w:rPr>
          <w:b/>
          <w:sz w:val="20"/>
          <w:szCs w:val="20"/>
        </w:rPr>
        <w:t xml:space="preserve">2.4. </w:t>
      </w:r>
      <w:r>
        <w:rPr>
          <w:bCs/>
          <w:sz w:val="20"/>
          <w:szCs w:val="20"/>
        </w:rPr>
        <w:t xml:space="preserve">As especificações técnicas do objeto, bem como os requisitos mínimos de qualidade e demais condições de fornecimento, e</w:t>
      </w:r>
      <w:r>
        <w:rPr>
          <w:bCs/>
          <w:sz w:val="20"/>
          <w:szCs w:val="20"/>
        </w:rPr>
        <w:t xml:space="preserve">ncontram-se integralmente descritos no Termo de Referência, anexo a este Edital, sendo imprescindível sua leitura e observância para a correta formulação da proposta e para o atendimento das exigências do certame.</w:t>
      </w:r>
      <w:r>
        <w:rPr>
          <w:b/>
          <w:sz w:val="20"/>
          <w:szCs w:val="20"/>
        </w:rPr>
      </w:r>
      <w:r>
        <w:rPr>
          <w:b/>
          <w:sz w:val="20"/>
          <w:szCs w:val="20"/>
        </w:rPr>
      </w:r>
    </w:p>
    <w:p>
      <w:pPr>
        <w:pStyle w:val="979"/>
        <w:pBdr/>
        <w:spacing/>
        <w:ind/>
        <w:jc w:val="both"/>
        <w:rPr>
          <w:b/>
          <w:sz w:val="20"/>
          <w:szCs w:val="20"/>
        </w:rPr>
      </w:pPr>
      <w:r>
        <w:rPr>
          <w:b/>
          <w:sz w:val="20"/>
          <w:szCs w:val="20"/>
        </w:rPr>
      </w:r>
      <w:r>
        <w:rPr>
          <w:b/>
          <w:sz w:val="20"/>
          <w:szCs w:val="20"/>
        </w:rPr>
      </w:r>
    </w:p>
    <w:p>
      <w:pPr>
        <w:pStyle w:val="979"/>
        <w:pBdr/>
        <w:spacing/>
        <w:ind/>
        <w:jc w:val="both"/>
        <w:rPr>
          <w:b/>
          <w:sz w:val="20"/>
          <w:szCs w:val="20"/>
        </w:rPr>
      </w:pPr>
      <w:r>
        <w:rPr>
          <w:b/>
          <w:sz w:val="20"/>
          <w:szCs w:val="20"/>
        </w:rPr>
        <w:t xml:space="preserve">2</w:t>
      </w:r>
      <w:r>
        <w:rPr>
          <w:b/>
          <w:sz w:val="20"/>
          <w:szCs w:val="20"/>
        </w:rPr>
        <w:t xml:space="preserve">.6</w:t>
      </w:r>
      <w:r>
        <w:rPr>
          <w:b/>
          <w:sz w:val="20"/>
          <w:szCs w:val="20"/>
        </w:rPr>
        <w:t xml:space="preserve">. ÓRGÃOS E ENTIDADES PARTICIPANTES DO REGISTRO DE PREÇO:</w:t>
      </w:r>
      <w:r>
        <w:rPr>
          <w:b/>
          <w:sz w:val="20"/>
          <w:szCs w:val="20"/>
        </w:rPr>
      </w:r>
    </w:p>
    <w:p>
      <w:pPr>
        <w:pStyle w:val="979"/>
        <w:pBdr/>
        <w:spacing/>
        <w:ind/>
        <w:jc w:val="both"/>
        <w:rPr>
          <w:rFonts w:eastAsia="Verdana"/>
          <w:b/>
          <w:sz w:val="20"/>
          <w:szCs w:val="20"/>
          <w:u w:val="single"/>
        </w:rPr>
      </w:pPr>
      <w:r>
        <w:rPr>
          <w:rFonts w:eastAsia="Verdana"/>
          <w:b/>
          <w:sz w:val="20"/>
          <w:szCs w:val="20"/>
          <w:u w:val="single"/>
        </w:rPr>
      </w:r>
      <w:r>
        <w:rPr>
          <w:rFonts w:eastAsia="Verdana"/>
          <w:b/>
          <w:sz w:val="20"/>
          <w:szCs w:val="20"/>
          <w:u w:val="single"/>
        </w:rPr>
      </w:r>
    </w:p>
    <w:p>
      <w:pPr>
        <w:pStyle w:val="979"/>
        <w:pBdr/>
        <w:spacing/>
        <w:ind/>
        <w:jc w:val="both"/>
        <w:rPr>
          <w:rFonts w:eastAsia="Verdana"/>
          <w:sz w:val="20"/>
          <w:szCs w:val="20"/>
          <w:u w:val="single"/>
        </w:rPr>
      </w:pPr>
      <w:r>
        <w:rPr>
          <w:rFonts w:eastAsia="Verdana"/>
          <w:b/>
          <w:sz w:val="20"/>
          <w:szCs w:val="20"/>
          <w:u w:val="single"/>
        </w:rPr>
        <w:t xml:space="preserve">2.</w:t>
      </w:r>
      <w:r>
        <w:rPr>
          <w:rFonts w:eastAsia="Verdana"/>
          <w:b/>
          <w:sz w:val="20"/>
          <w:szCs w:val="20"/>
          <w:u w:val="single"/>
        </w:rPr>
        <w:t xml:space="preserve">6</w:t>
      </w:r>
      <w:r>
        <w:rPr>
          <w:rFonts w:eastAsia="Verdana"/>
          <w:b/>
          <w:sz w:val="20"/>
          <w:szCs w:val="20"/>
          <w:u w:val="single"/>
        </w:rPr>
        <w:t xml:space="preserve">.1.</w:t>
      </w:r>
      <w:r>
        <w:rPr>
          <w:sz w:val="20"/>
          <w:szCs w:val="20"/>
          <w:u w:val="single"/>
        </w:rPr>
        <w:t xml:space="preserve"> </w:t>
      </w:r>
      <w:r>
        <w:rPr>
          <w:rFonts w:eastAsia="Verdana"/>
          <w:sz w:val="20"/>
          <w:szCs w:val="20"/>
          <w:u w:val="single"/>
        </w:rPr>
        <w:t xml:space="preserve">Unidade requisitante</w:t>
      </w:r>
      <w:r>
        <w:rPr>
          <w:rFonts w:eastAsia="Verdana"/>
          <w:sz w:val="20"/>
          <w:szCs w:val="20"/>
          <w:u w:val="single"/>
        </w:rPr>
        <w:t xml:space="preserve">:</w:t>
      </w:r>
      <w:r>
        <w:rPr>
          <w:rFonts w:eastAsia="Verdana"/>
          <w:sz w:val="20"/>
          <w:szCs w:val="20"/>
          <w:u w:val="single"/>
        </w:rPr>
        <w:t xml:space="preserve"> Secretaria Municipal </w:t>
      </w:r>
      <w:r>
        <w:rPr>
          <w:rFonts w:eastAsia="Verdana"/>
          <w:sz w:val="20"/>
          <w:szCs w:val="20"/>
          <w:u w:val="single"/>
        </w:rPr>
        <w:t xml:space="preserve">de </w:t>
      </w:r>
      <w:r>
        <w:rPr>
          <w:rFonts w:eastAsia="Verdana"/>
          <w:sz w:val="20"/>
          <w:szCs w:val="20"/>
          <w:u w:val="single"/>
        </w:rPr>
        <w:t xml:space="preserve">Saúde</w:t>
      </w:r>
      <w:r>
        <w:rPr>
          <w:rFonts w:eastAsia="Verdana"/>
          <w:sz w:val="20"/>
          <w:szCs w:val="20"/>
          <w:u w:val="single"/>
        </w:rPr>
        <w:t xml:space="preserve">.</w:t>
      </w:r>
      <w:r>
        <w:rPr>
          <w:rFonts w:eastAsia="Verdana"/>
          <w:sz w:val="20"/>
          <w:szCs w:val="20"/>
          <w:u w:val="single"/>
        </w:rPr>
      </w:r>
      <w:r>
        <w:rPr>
          <w:rFonts w:eastAsia="Verdana"/>
          <w:sz w:val="20"/>
          <w:szCs w:val="20"/>
          <w:u w:val="single"/>
        </w:rPr>
      </w:r>
    </w:p>
    <w:p>
      <w:pPr>
        <w:pStyle w:val="979"/>
        <w:pBdr/>
        <w:spacing/>
        <w:ind/>
        <w:jc w:val="both"/>
        <w:rPr>
          <w:bCs/>
          <w:sz w:val="20"/>
          <w:szCs w:val="20"/>
        </w:rPr>
      </w:pPr>
      <w:r>
        <w:rPr>
          <w:bCs/>
          <w:sz w:val="20"/>
          <w:szCs w:val="20"/>
        </w:rPr>
      </w:r>
      <w:r>
        <w:rPr>
          <w:bCs/>
          <w:sz w:val="20"/>
          <w:szCs w:val="20"/>
        </w:rPr>
      </w:r>
    </w:p>
    <w:p>
      <w:pPr>
        <w:pStyle w:val="829"/>
        <w:pBdr/>
        <w:spacing w:after="0" w:before="0"/>
        <w:ind/>
        <w:rPr>
          <w:sz w:val="20"/>
          <w:szCs w:val="20"/>
          <w:lang w:val="pt-BR"/>
        </w:rPr>
      </w:pPr>
      <w:r/>
      <w:bookmarkStart w:id="2" w:name="__RefHeading___Toc190782009"/>
      <w:r>
        <w:rPr>
          <w:rFonts w:eastAsia="SimSun"/>
          <w:sz w:val="20"/>
          <w:szCs w:val="20"/>
          <w:lang w:val="pt-BR"/>
        </w:rPr>
        <w:t xml:space="preserve">3. DA REFERÊNCIA DE HORÁRIO NO EDITAL E DOS PROCEDIMENTOS INICIAIS:</w:t>
      </w:r>
      <w:bookmarkEnd w:id="2"/>
      <w:r>
        <w:rPr>
          <w:rFonts w:eastAsia="SimSun"/>
          <w:sz w:val="20"/>
          <w:szCs w:val="20"/>
          <w:lang w:val="pt-BR"/>
        </w:rPr>
        <w:t xml:space="preserve"> </w:t>
      </w:r>
      <w:r>
        <w:rPr>
          <w:sz w:val="20"/>
          <w:szCs w:val="20"/>
          <w:lang w:val="pt-BR"/>
        </w:rPr>
      </w:r>
      <w:r>
        <w:rPr>
          <w:sz w:val="20"/>
          <w:szCs w:val="20"/>
          <w:lang w:val="pt-BR"/>
        </w:rPr>
      </w:r>
    </w:p>
    <w:p>
      <w:pPr>
        <w:pStyle w:val="828"/>
        <w:pBdr/>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spacing/>
        <w:ind/>
        <w:jc w:val="both"/>
        <w:rPr>
          <w:rFonts w:ascii="Arial" w:hAnsi="Arial" w:cs="Arial"/>
        </w:rPr>
      </w:pPr>
      <w:r>
        <w:rPr>
          <w:rFonts w:ascii="Arial" w:hAnsi="Arial" w:cs="Arial"/>
          <w:b/>
        </w:rPr>
        <w:t xml:space="preserve">3.1.</w:t>
      </w:r>
      <w:r>
        <w:rPr>
          <w:rFonts w:ascii="Arial" w:hAnsi="Arial" w:cs="Arial"/>
        </w:rPr>
        <w:t xml:space="preserve"> Todas as referências de horário no Edital, no Aviso e durante a Sessão Pública observarão obrigatori</w:t>
      </w:r>
      <w:r>
        <w:rPr>
          <w:rFonts w:ascii="Arial" w:hAnsi="Arial" w:cs="Arial"/>
        </w:rPr>
        <w:t xml:space="preserve">amente o </w:t>
      </w:r>
      <w:r>
        <w:rPr>
          <w:rFonts w:ascii="Arial" w:hAnsi="Arial" w:cs="Arial"/>
          <w:b/>
        </w:rPr>
        <w:t xml:space="preserve">Horário de Brasília – DF</w:t>
      </w:r>
      <w:r>
        <w:rPr>
          <w:rFonts w:ascii="Arial" w:hAnsi="Arial" w:cs="Arial"/>
        </w:rPr>
        <w:t xml:space="preserve"> e, dessa forma, serão registradas no sistema eletrônico e na documentação relativa ao certame. </w:t>
      </w:r>
      <w:r>
        <w:rPr>
          <w:rFonts w:ascii="Arial" w:hAnsi="Arial" w:cs="Arial"/>
        </w:rPr>
      </w:r>
    </w:p>
    <w:p>
      <w:pPr>
        <w:pStyle w:val="828"/>
        <w:pBdr/>
        <w:tabs>
          <w:tab w:val="left" w:leader="none" w:pos="426"/>
        </w:tabs>
        <w:spacing/>
        <w:ind/>
        <w:jc w:val="both"/>
        <w:rPr>
          <w:rFonts w:ascii="Arial" w:hAnsi="Arial" w:cs="Arial"/>
        </w:rPr>
      </w:pPr>
      <w:r>
        <w:rPr>
          <w:rFonts w:ascii="Arial" w:hAnsi="Arial" w:cs="Arial"/>
          <w:b/>
        </w:rPr>
        <w:t xml:space="preserve">3.2.</w:t>
      </w:r>
      <w:r>
        <w:rPr>
          <w:rFonts w:ascii="Arial" w:hAnsi="Arial" w:cs="Arial"/>
        </w:rPr>
        <w:tab/>
        <w:t xml:space="preserve">Para participação da licitação ou simples acompanhamento da mesma, o interessado deverá acessar, na internet, a página bllcompras.com, onde se encontra o link para o “Acesso Identificado”; </w:t>
      </w:r>
      <w:r>
        <w:rPr>
          <w:rFonts w:ascii="Arial" w:hAnsi="Arial" w:cs="Arial"/>
        </w:rPr>
      </w:r>
    </w:p>
    <w:p>
      <w:pPr>
        <w:pStyle w:val="828"/>
        <w:pBdr/>
        <w:tabs>
          <w:tab w:val="left" w:leader="none" w:pos="426"/>
        </w:tabs>
        <w:spacing/>
        <w:ind/>
        <w:jc w:val="both"/>
        <w:rPr>
          <w:rFonts w:ascii="Arial" w:hAnsi="Arial" w:cs="Arial"/>
        </w:rPr>
      </w:pPr>
      <w:r>
        <w:rPr>
          <w:rFonts w:ascii="Arial" w:hAnsi="Arial" w:cs="Arial"/>
        </w:rPr>
      </w:r>
      <w:r>
        <w:rPr>
          <w:rFonts w:ascii="Arial" w:hAnsi="Arial" w:cs="Arial"/>
        </w:rPr>
      </w:r>
    </w:p>
    <w:p>
      <w:pPr>
        <w:pStyle w:val="828"/>
        <w:pBdr/>
        <w:tabs>
          <w:tab w:val="left" w:leader="none" w:pos="426"/>
        </w:tabs>
        <w:spacing/>
        <w:ind/>
        <w:jc w:val="both"/>
        <w:rPr>
          <w:rFonts w:ascii="Arial" w:hAnsi="Arial" w:cs="Arial"/>
        </w:rPr>
      </w:pPr>
      <w:r>
        <w:rPr>
          <w:rFonts w:ascii="Arial" w:hAnsi="Arial" w:cs="Arial"/>
          <w:b/>
        </w:rPr>
        <w:t xml:space="preserve">3.3.</w:t>
      </w:r>
      <w:r>
        <w:rPr>
          <w:rFonts w:ascii="Arial" w:hAnsi="Arial" w:cs="Arial"/>
        </w:rPr>
        <w:tab/>
        <w:t xml:space="preserve">As propostas comerciais serão recebidas a partir das </w:t>
      </w:r>
      <w:r>
        <w:rPr>
          <w:rFonts w:ascii="Arial" w:hAnsi="Arial" w:cs="Arial"/>
          <w:b/>
          <w:highlight w:val="white"/>
        </w:rPr>
        <w:t xml:space="preserve">16</w:t>
      </w:r>
      <w:r>
        <w:rPr>
          <w:rFonts w:ascii="Arial" w:hAnsi="Arial" w:cs="Arial"/>
          <w:b/>
          <w:highlight w:val="white"/>
        </w:rPr>
        <w:t xml:space="preserve">:</w:t>
      </w:r>
      <w:r>
        <w:rPr>
          <w:rFonts w:ascii="Arial" w:hAnsi="Arial" w:cs="Arial"/>
          <w:b/>
          <w:highlight w:val="white"/>
        </w:rPr>
        <w:t xml:space="preserve">00</w:t>
      </w:r>
      <w:r>
        <w:rPr>
          <w:rFonts w:ascii="Arial" w:hAnsi="Arial" w:cs="Arial"/>
          <w:b/>
          <w:highlight w:val="white"/>
        </w:rPr>
        <w:t xml:space="preserve"> do dia </w:t>
      </w:r>
      <w:r>
        <w:rPr>
          <w:rFonts w:ascii="Arial" w:hAnsi="Arial" w:cs="Arial"/>
          <w:b/>
          <w:highlight w:val="white"/>
        </w:rPr>
        <w:t xml:space="preserve">29/04</w:t>
      </w:r>
      <w:r>
        <w:rPr>
          <w:rFonts w:ascii="Arial" w:hAnsi="Arial" w:cs="Arial"/>
          <w:b/>
          <w:highlight w:val="white"/>
        </w:rPr>
        <w:t xml:space="preserve">/2026</w:t>
      </w:r>
      <w:r>
        <w:rPr>
          <w:rFonts w:ascii="Arial" w:hAnsi="Arial" w:cs="Arial"/>
        </w:rPr>
        <w:t xml:space="preserve"> </w:t>
      </w:r>
      <w:r>
        <w:rPr>
          <w:rFonts w:ascii="Arial" w:hAnsi="Arial" w:cs="Arial"/>
          <w:b/>
        </w:rPr>
        <w:t xml:space="preserve">até às 09h00 do dia</w:t>
      </w:r>
      <w:r>
        <w:rPr>
          <w:rFonts w:ascii="Arial" w:hAnsi="Arial" w:cs="Arial"/>
        </w:rPr>
        <w:t xml:space="preserve"> </w:t>
      </w:r>
      <w:r>
        <w:rPr>
          <w:rFonts w:ascii="Arial" w:hAnsi="Arial" w:cs="Arial"/>
          <w:b/>
          <w:highlight w:val="none"/>
        </w:rPr>
        <w:t xml:space="preserve">1</w:t>
      </w:r>
      <w:r>
        <w:rPr>
          <w:rFonts w:ascii="Arial" w:hAnsi="Arial" w:cs="Arial"/>
          <w:b/>
          <w:highlight w:val="white"/>
        </w:rPr>
        <w:t xml:space="preserve">4/</w:t>
      </w:r>
      <w:r>
        <w:rPr>
          <w:rFonts w:ascii="Arial" w:hAnsi="Arial" w:cs="Arial"/>
          <w:b/>
          <w:highlight w:val="white"/>
        </w:rPr>
        <w:t xml:space="preserve">05</w:t>
      </w:r>
      <w:r>
        <w:rPr>
          <w:rFonts w:ascii="Arial" w:hAnsi="Arial" w:cs="Arial"/>
          <w:b/>
          <w:highlight w:val="white"/>
        </w:rPr>
        <w:t xml:space="preserve">/2026</w:t>
      </w:r>
      <w:r>
        <w:rPr>
          <w:rFonts w:ascii="Arial" w:hAnsi="Arial" w:cs="Arial"/>
          <w:highlight w:val="white"/>
        </w:rPr>
        <w:t xml:space="preserve">,</w:t>
      </w:r>
      <w:r>
        <w:rPr>
          <w:rFonts w:ascii="Arial" w:hAnsi="Arial" w:cs="Arial"/>
          <w:highlight w:val="white"/>
        </w:rPr>
        <w:t xml:space="preserve"> </w:t>
      </w:r>
      <w:r>
        <w:rPr>
          <w:rFonts w:ascii="Arial" w:hAnsi="Arial" w:cs="Arial"/>
        </w:rPr>
        <w:t xml:space="preserve">(horário de Brasília) por meio do endereço www.bllcompras.com, onde se e</w:t>
      </w:r>
      <w:r>
        <w:rPr>
          <w:rFonts w:ascii="Arial" w:hAnsi="Arial" w:cs="Arial"/>
        </w:rPr>
        <w:t xml:space="preserve">ncontra o link para o “Acesso Identificado”, podendo os interessados cadastrar ou substituir propostas no sistema eletrônico; </w:t>
      </w:r>
      <w:r>
        <w:rPr>
          <w:rFonts w:ascii="Arial" w:hAnsi="Arial" w:cs="Arial"/>
        </w:rPr>
      </w:r>
    </w:p>
    <w:p>
      <w:pPr>
        <w:pStyle w:val="828"/>
        <w:pBdr/>
        <w:tabs>
          <w:tab w:val="left" w:leader="none" w:pos="426"/>
        </w:tabs>
        <w:spacing/>
        <w:ind/>
        <w:jc w:val="both"/>
        <w:rPr>
          <w:rFonts w:ascii="Arial" w:hAnsi="Arial" w:cs="Arial"/>
        </w:rPr>
      </w:pPr>
      <w:r>
        <w:rPr>
          <w:rFonts w:ascii="Arial" w:hAnsi="Arial" w:cs="Arial"/>
        </w:rPr>
      </w:r>
      <w:r>
        <w:rPr>
          <w:rFonts w:ascii="Arial" w:hAnsi="Arial" w:cs="Arial"/>
        </w:rPr>
      </w:r>
    </w:p>
    <w:p>
      <w:pPr>
        <w:pStyle w:val="828"/>
        <w:pBdr/>
        <w:tabs>
          <w:tab w:val="left" w:leader="none" w:pos="426"/>
        </w:tabs>
        <w:spacing/>
        <w:ind/>
        <w:jc w:val="both"/>
        <w:rPr>
          <w:rFonts w:ascii="Arial" w:hAnsi="Arial" w:cs="Arial"/>
        </w:rPr>
      </w:pPr>
      <w:r>
        <w:rPr>
          <w:rFonts w:ascii="Arial" w:hAnsi="Arial" w:cs="Arial"/>
          <w:b/>
        </w:rPr>
        <w:t xml:space="preserve">3.4</w:t>
        <w:tab/>
      </w:r>
      <w:r>
        <w:rPr>
          <w:rFonts w:ascii="Arial" w:hAnsi="Arial" w:cs="Arial"/>
        </w:rPr>
        <w:t xml:space="preserve">As propostas serão abertas às 09h00 do dia </w:t>
      </w:r>
      <w:r>
        <w:rPr>
          <w:rFonts w:ascii="Arial" w:hAnsi="Arial" w:cs="Arial"/>
          <w:b/>
          <w:highlight w:val="none"/>
        </w:rPr>
        <w:t xml:space="preserve">1</w:t>
      </w:r>
      <w:r>
        <w:rPr>
          <w:rFonts w:ascii="Arial" w:hAnsi="Arial" w:cs="Arial"/>
          <w:b/>
          <w:highlight w:val="white"/>
        </w:rPr>
        <w:t xml:space="preserve">4</w:t>
      </w:r>
      <w:r>
        <w:rPr>
          <w:rFonts w:ascii="Arial" w:hAnsi="Arial" w:cs="Arial"/>
          <w:b/>
          <w:highlight w:val="white"/>
        </w:rPr>
        <w:t xml:space="preserve">/05</w:t>
      </w:r>
      <w:r>
        <w:rPr>
          <w:rFonts w:ascii="Arial" w:hAnsi="Arial" w:cs="Arial"/>
          <w:b/>
          <w:highlight w:val="white"/>
        </w:rPr>
        <w:t xml:space="preserve">/2026</w:t>
      </w:r>
      <w:r>
        <w:rPr>
          <w:rFonts w:ascii="Arial" w:hAnsi="Arial" w:cs="Arial"/>
          <w:highlight w:val="white"/>
        </w:rPr>
        <w:t xml:space="preserve"> </w:t>
      </w:r>
      <w:r>
        <w:rPr>
          <w:rFonts w:ascii="Arial" w:hAnsi="Arial" w:cs="Arial"/>
        </w:rPr>
        <w:t xml:space="preserve">(horário de Brasília). Mesmo horário. </w:t>
      </w:r>
      <w:r>
        <w:rPr>
          <w:rFonts w:ascii="Arial" w:hAnsi="Arial" w:cs="Arial"/>
        </w:rPr>
      </w:r>
    </w:p>
    <w:p>
      <w:pPr>
        <w:pStyle w:val="828"/>
        <w:pBdr/>
        <w:tabs>
          <w:tab w:val="left" w:leader="none" w:pos="426"/>
        </w:tabs>
        <w:spacing/>
        <w:ind/>
        <w:jc w:val="both"/>
        <w:rPr>
          <w:rFonts w:ascii="Arial" w:hAnsi="Arial" w:cs="Arial"/>
        </w:rPr>
      </w:pPr>
      <w:r>
        <w:rPr>
          <w:rFonts w:ascii="Arial" w:hAnsi="Arial" w:cs="Arial"/>
        </w:rPr>
      </w:r>
      <w:r>
        <w:rPr>
          <w:rFonts w:ascii="Arial" w:hAnsi="Arial" w:cs="Arial"/>
        </w:rPr>
      </w:r>
    </w:p>
    <w:p>
      <w:pPr>
        <w:pStyle w:val="828"/>
        <w:pBdr/>
        <w:tabs>
          <w:tab w:val="left" w:leader="none" w:pos="426"/>
        </w:tabs>
        <w:spacing/>
        <w:ind/>
        <w:jc w:val="both"/>
        <w:rPr>
          <w:rFonts w:ascii="Arial" w:hAnsi="Arial" w:cs="Arial"/>
        </w:rPr>
      </w:pPr>
      <w:r>
        <w:rPr>
          <w:rFonts w:ascii="Arial" w:hAnsi="Arial" w:cs="Arial"/>
          <w:b/>
        </w:rPr>
        <w:t xml:space="preserve">3.5.</w:t>
      </w:r>
      <w:r>
        <w:rPr>
          <w:rFonts w:ascii="Arial" w:hAnsi="Arial" w:cs="Arial"/>
        </w:rPr>
        <w:tab/>
        <w:t xml:space="preserve">O início da sessão de disputa de preços ocorrerá às 09h30 do dia </w:t>
      </w:r>
      <w:r>
        <w:rPr>
          <w:rFonts w:ascii="Arial" w:hAnsi="Arial" w:cs="Arial"/>
          <w:b/>
          <w:highlight w:val="none"/>
        </w:rPr>
        <w:t xml:space="preserve">14</w:t>
      </w:r>
      <w:r>
        <w:rPr>
          <w:rFonts w:ascii="Arial" w:hAnsi="Arial" w:cs="Arial"/>
          <w:b/>
          <w:highlight w:val="white"/>
        </w:rPr>
        <w:t xml:space="preserve">/05</w:t>
      </w:r>
      <w:r>
        <w:rPr>
          <w:rFonts w:ascii="Arial" w:hAnsi="Arial" w:cs="Arial"/>
          <w:b/>
          <w:highlight w:val="white"/>
        </w:rPr>
        <w:t xml:space="preserve">/2026 </w:t>
      </w:r>
      <w:r>
        <w:rPr>
          <w:rFonts w:ascii="Arial" w:hAnsi="Arial" w:cs="Arial"/>
          <w:b/>
          <w:highlight w:val="white"/>
        </w:rPr>
        <w:t xml:space="preserve">(</w:t>
      </w:r>
      <w:r>
        <w:rPr>
          <w:rFonts w:ascii="Arial" w:hAnsi="Arial" w:cs="Arial"/>
          <w:highlight w:val="white"/>
        </w:rPr>
        <w:t xml:space="preserve">h</w:t>
      </w:r>
      <w:r>
        <w:rPr>
          <w:rFonts w:ascii="Arial" w:hAnsi="Arial" w:cs="Arial"/>
        </w:rPr>
        <w:t xml:space="preserve">orário de Brasília). Mesmo horário.</w:t>
      </w:r>
      <w:r>
        <w:rPr>
          <w:rFonts w:ascii="Arial" w:hAnsi="Arial" w:cs="Arial"/>
        </w:rPr>
      </w:r>
    </w:p>
    <w:p>
      <w:pPr>
        <w:pStyle w:val="829"/>
        <w:pBdr/>
        <w:spacing w:after="0" w:before="0"/>
        <w:ind/>
        <w:rPr>
          <w:sz w:val="20"/>
          <w:szCs w:val="20"/>
          <w:lang w:val="pt-BR"/>
        </w:rPr>
      </w:pPr>
      <w:r/>
      <w:bookmarkStart w:id="3" w:name="__RefHeading___Toc190782010"/>
      <w:r>
        <w:rPr>
          <w:rFonts w:eastAsia="SimSun"/>
          <w:sz w:val="20"/>
          <w:szCs w:val="20"/>
          <w:lang w:val="pt-BR"/>
        </w:rPr>
        <w:t xml:space="preserve">4. DAS CONDIÇÕES PARA PARTICIPAÇÃO NO CERTAME:</w:t>
      </w:r>
      <w:bookmarkEnd w:id="3"/>
      <w:r>
        <w:rPr>
          <w:rFonts w:eastAsia="SimSun"/>
          <w:sz w:val="20"/>
          <w:szCs w:val="20"/>
          <w:lang w:val="pt-BR"/>
        </w:rPr>
        <w:t xml:space="preserve"> </w:t>
      </w:r>
      <w:r>
        <w:rPr>
          <w:sz w:val="20"/>
          <w:szCs w:val="20"/>
          <w:lang w:val="pt-BR"/>
        </w:rPr>
      </w:r>
      <w:r>
        <w:rPr>
          <w:sz w:val="20"/>
          <w:szCs w:val="20"/>
          <w:lang w:val="pt-BR"/>
        </w:rPr>
      </w:r>
    </w:p>
    <w:p>
      <w:pPr>
        <w:pStyle w:val="828"/>
        <w:pBdr/>
        <w:spacing/>
        <w:ind/>
        <w:jc w:val="both"/>
        <w:rPr>
          <w:rFonts w:ascii="Arial" w:hAnsi="Arial" w:eastAsia="SimSun" w:cs="Arial"/>
          <w:b/>
        </w:rPr>
      </w:pPr>
      <w:r>
        <w:rPr>
          <w:rFonts w:ascii="Arial" w:hAnsi="Arial" w:eastAsia="SimSun" w:cs="Arial"/>
          <w:b/>
        </w:rPr>
      </w:r>
      <w:r>
        <w:rPr>
          <w:rFonts w:ascii="Arial" w:hAnsi="Arial" w:eastAsia="SimSun" w:cs="Arial"/>
          <w:b/>
        </w:rPr>
      </w:r>
    </w:p>
    <w:p>
      <w:pPr>
        <w:pStyle w:val="828"/>
        <w:pBdr/>
        <w:spacing/>
        <w:ind/>
        <w:jc w:val="both"/>
        <w:rPr>
          <w:rFonts w:ascii="Arial" w:hAnsi="Arial" w:cs="Arial"/>
        </w:rPr>
      </w:pPr>
      <w:r>
        <w:rPr>
          <w:rFonts w:ascii="Arial" w:hAnsi="Arial" w:cs="Arial"/>
          <w:b/>
        </w:rPr>
        <w:t xml:space="preserve">4.1.</w:t>
      </w:r>
      <w:r>
        <w:rPr>
          <w:rFonts w:ascii="Arial" w:hAnsi="Arial" w:cs="Arial"/>
        </w:rPr>
        <w:t xml:space="preserve"> A participação no certame se dará por meio da digitação da senha pessoal e intransferível do representante crede</w:t>
      </w:r>
      <w:r>
        <w:rPr>
          <w:rFonts w:ascii="Arial" w:hAnsi="Arial" w:cs="Arial"/>
        </w:rPr>
        <w:t xml:space="preserve">nciado e subsequente encaminhamento da proposta de preços, exclusivamente, por meio do sistema eletrônico no site </w:t>
      </w:r>
      <w:r>
        <w:rPr>
          <w:rFonts w:ascii="Arial" w:hAnsi="Arial" w:cs="Arial"/>
          <w:b/>
        </w:rPr>
        <w:t xml:space="preserve">bllcompras.com</w:t>
      </w:r>
      <w:r>
        <w:rPr>
          <w:rFonts w:ascii="Arial" w:hAnsi="Arial" w:cs="Arial"/>
        </w:rPr>
        <w:t xml:space="preserve"> e ou, opção "</w:t>
      </w:r>
      <w:r>
        <w:rPr>
          <w:rFonts w:ascii="Arial" w:hAnsi="Arial" w:cs="Arial"/>
          <w:b/>
        </w:rPr>
        <w:t xml:space="preserve">Acesso Identificado</w:t>
      </w:r>
      <w:r>
        <w:rPr>
          <w:rFonts w:ascii="Arial" w:hAnsi="Arial" w:cs="Arial"/>
        </w:rPr>
        <w:t xml:space="preserve">", </w:t>
      </w:r>
      <w:r>
        <w:rPr>
          <w:rFonts w:ascii="Arial" w:hAnsi="Arial" w:cs="Arial"/>
          <w:b/>
        </w:rPr>
        <w:t xml:space="preserve">observadas a data e horário limite estabelecido neste edital</w:t>
      </w:r>
      <w:r>
        <w:rPr>
          <w:rFonts w:ascii="Arial" w:hAnsi="Arial" w:cs="Arial"/>
          <w:b/>
          <w:color w:val="000000"/>
        </w:rPr>
        <w:t xml:space="preserve">.</w:t>
      </w:r>
      <w:r>
        <w:rPr>
          <w:rFonts w:ascii="Arial" w:hAnsi="Arial" w:cs="Arial"/>
          <w:color w:val="000000"/>
        </w:rPr>
        <w:t xml:space="preserve"> (Horário de Brasília).</w:t>
      </w:r>
      <w:r>
        <w:rPr>
          <w:rFonts w:ascii="Arial" w:hAnsi="Arial" w:cs="Arial"/>
        </w:rPr>
      </w:r>
      <w:r>
        <w:rPr>
          <w:rFonts w:ascii="Arial" w:hAnsi="Arial" w:cs="Arial"/>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rPr>
        <w:t xml:space="preserve">4.2.</w:t>
      </w:r>
      <w:r>
        <w:rPr>
          <w:rFonts w:ascii="Arial" w:hAnsi="Arial" w:cs="Arial"/>
        </w:rPr>
        <w:t xml:space="preserve"> O licitante arcará integralmente com todos os custos de preparação e apresentação de sua proposta, independente do resultado do procedimento licitatório. </w:t>
      </w:r>
      <w:r>
        <w:rPr>
          <w:rFonts w:ascii="Arial" w:hAnsi="Arial" w:cs="Arial"/>
        </w:rPr>
      </w:r>
    </w:p>
    <w:p>
      <w:pPr>
        <w:pStyle w:val="828"/>
        <w:pBdr/>
        <w:spacing/>
        <w:ind w:left="426"/>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4.3.</w:t>
      </w:r>
      <w:r>
        <w:rPr>
          <w:rFonts w:ascii="Arial" w:hAnsi="Arial" w:cs="Arial"/>
        </w:rPr>
        <w:t xml:space="preserve"> Somente será admitida a participação neste certame, de pessoas jurídicas, que comprovem com docu</w:t>
      </w:r>
      <w:r>
        <w:rPr>
          <w:rFonts w:ascii="Arial" w:hAnsi="Arial" w:cs="Arial"/>
        </w:rPr>
        <w:t xml:space="preserve">mentos de registros ou autorizações legais, que explorem ramo de atividade compatível com o objeto desta licitação e atendam às exigências do edital e seus anexos;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4.4.</w:t>
      </w:r>
      <w:r>
        <w:rPr>
          <w:rFonts w:ascii="Arial" w:hAnsi="Arial" w:cs="Arial"/>
        </w:rPr>
        <w:t xml:space="preserve"> O licitante responsabiliza-se exclusiva e formalmente pelas transações efetuadas em s</w:t>
      </w:r>
      <w:r>
        <w:rPr>
          <w:rFonts w:ascii="Arial" w:hAnsi="Arial" w:cs="Arial"/>
        </w:rPr>
        <w:t xml:space="preserve">eu nome, assume como firmes e verdadeiras suas propostas e seus lances, inclusive os atos praticados diretamente ou por seu representante, excluída a responsabilidade do provedor do sistema ou do órgão ou entidade promotora da licitação por eventuais danos</w:t>
      </w:r>
      <w:r>
        <w:rPr>
          <w:rFonts w:ascii="Arial" w:hAnsi="Arial" w:cs="Arial"/>
        </w:rPr>
        <w:t xml:space="preserve"> decorrentes de uso indevido das credenciais de acesso, ainda que por terceiros.</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4.4.1.</w:t>
      </w:r>
      <w:r>
        <w:rPr>
          <w:rFonts w:ascii="Arial" w:hAnsi="Arial" w:cs="Arial"/>
        </w:rPr>
        <w:t xml:space="preserve"> Poderão participar deste certame pessoas jurídicas que explorem ramo de atividade compatível e pertinente com o</w:t>
      </w:r>
      <w:r>
        <w:rPr>
          <w:rFonts w:ascii="Arial" w:hAnsi="Arial" w:cs="Arial"/>
        </w:rPr>
        <w:t xml:space="preserve"> objeto desta licitação e atendam às exigências deste Edital e seus anexos, correndo por sua conta todos os custos decorrentes da elaboração e apresentação de suas propostas, não sendo devida nenhuma indenização aos licitantes pela realização de tais atos.</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b/>
          <w:color w:val="000000"/>
        </w:rPr>
        <w:t xml:space="preserve">4.4.2.</w:t>
      </w:r>
      <w:r>
        <w:rPr>
          <w:rFonts w:ascii="Arial" w:hAnsi="Arial" w:cs="Arial"/>
          <w:color w:val="000000"/>
        </w:rPr>
        <w:t xml:space="preserve"> Será concedido tratamento favorecido para as mi</w:t>
      </w:r>
      <w:r>
        <w:rPr>
          <w:rFonts w:ascii="Arial" w:hAnsi="Arial" w:cs="Arial"/>
          <w:color w:val="000000"/>
        </w:rPr>
        <w:t xml:space="preserve">croempresas e empresas de pequeno porte, para as sociedades cooperativas mencionadas no </w:t>
      </w:r>
      <w:r>
        <w:rPr>
          <w:rFonts w:ascii="Arial" w:hAnsi="Arial" w:cs="Arial"/>
        </w:rPr>
        <w:fldChar w:fldCharType="begin"/>
      </w:r>
      <w:r>
        <w:rPr>
          <w:rFonts w:ascii="Arial" w:hAnsi="Arial" w:cs="Arial"/>
        </w:rPr>
        <w:instrText xml:space="preserve"> HYPERLINK "http://www.planalto.gov.br/ccivil_03/_ato2019-2022/2021/lei/L14133.htm" \l "art16"</w:instrText>
      </w:r>
      <w:r>
        <w:rPr>
          <w:rFonts w:ascii="Arial" w:hAnsi="Arial" w:cs="Arial"/>
        </w:rPr>
        <w:fldChar w:fldCharType="separate"/>
      </w:r>
      <w:r>
        <w:rPr>
          <w:rStyle w:val="900"/>
          <w:rFonts w:ascii="Arial" w:hAnsi="Arial" w:cs="Arial"/>
          <w:color w:val="000000"/>
        </w:rPr>
        <w:t xml:space="preserve">artigo 16 da Lei nº 14.133, de 2021</w:t>
      </w:r>
      <w:r>
        <w:rPr>
          <w:rFonts w:ascii="Arial" w:hAnsi="Arial" w:cs="Arial"/>
        </w:rPr>
        <w:fldChar w:fldCharType="end"/>
      </w:r>
      <w:r>
        <w:rPr>
          <w:rFonts w:ascii="Arial" w:hAnsi="Arial" w:cs="Arial"/>
          <w:color w:val="000000"/>
        </w:rPr>
        <w:t xml:space="preserve">, para o agricultor familiar, o produtor rural pessoa física e para o microempreendedor individual - MEI, nos limites previstos da </w:t>
      </w:r>
      <w:r>
        <w:rPr>
          <w:rFonts w:ascii="Arial" w:hAnsi="Arial" w:cs="Arial"/>
        </w:rPr>
        <w:fldChar w:fldCharType="begin"/>
      </w:r>
      <w:r>
        <w:rPr>
          <w:rFonts w:ascii="Arial" w:hAnsi="Arial" w:cs="Arial"/>
        </w:rPr>
        <w:instrText xml:space="preserve"> HYPERLINK "https://www.planalto.gov.br/ccivil_03/leis/lcp/lcp123.htm"</w:instrText>
      </w:r>
      <w:r>
        <w:rPr>
          <w:rFonts w:ascii="Arial" w:hAnsi="Arial" w:cs="Arial"/>
        </w:rPr>
        <w:fldChar w:fldCharType="separate"/>
      </w:r>
      <w:r>
        <w:rPr>
          <w:rStyle w:val="900"/>
          <w:rFonts w:ascii="Arial" w:hAnsi="Arial" w:cs="Arial"/>
          <w:color w:val="000000"/>
        </w:rPr>
        <w:t xml:space="preserve">Lei Complementar nº 123, de 2006</w:t>
      </w:r>
      <w:r>
        <w:rPr>
          <w:rFonts w:ascii="Arial" w:hAnsi="Arial" w:cs="Arial"/>
        </w:rPr>
        <w:fldChar w:fldCharType="end"/>
      </w:r>
      <w:r>
        <w:rPr>
          <w:rFonts w:ascii="Arial" w:hAnsi="Arial" w:cs="Arial"/>
          <w:color w:val="000000"/>
        </w:rPr>
        <w:t xml:space="preserve"> e do Decreto n.º 8.538, de 2015.</w:t>
      </w:r>
      <w:bookmarkStart w:id="4" w:name="_Ref117000692"/>
      <w:r>
        <w:rPr>
          <w:rFonts w:ascii="Arial" w:hAnsi="Arial" w:cs="Arial"/>
          <w:color w:val="000000"/>
        </w:rPr>
      </w:r>
      <w:r>
        <w:rPr>
          <w:rFonts w:ascii="Arial" w:hAnsi="Arial" w:cs="Arial"/>
          <w:color w:val="000000"/>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000000"/>
        </w:rPr>
        <w:t xml:space="preserve">4.5.</w:t>
      </w:r>
      <w:r>
        <w:rPr>
          <w:rFonts w:ascii="Arial" w:hAnsi="Arial" w:cs="Arial"/>
          <w:color w:val="000000"/>
        </w:rPr>
        <w:t xml:space="preserve"> </w:t>
      </w:r>
      <w:r>
        <w:rPr>
          <w:rFonts w:ascii="Arial" w:hAnsi="Arial" w:cs="Arial"/>
          <w:b/>
          <w:color w:val="000000"/>
        </w:rPr>
        <w:t xml:space="preserve">NÃO PODERÃO DI</w:t>
      </w:r>
      <w:r>
        <w:rPr>
          <w:rFonts w:ascii="Arial" w:hAnsi="Arial" w:cs="Arial"/>
          <w:b/>
          <w:color w:val="000000"/>
        </w:rPr>
        <w:t xml:space="preserve">SPUTAR ESTA LICITAÇÃO:</w:t>
      </w:r>
      <w:bookmarkEnd w:id="4"/>
      <w:r>
        <w:rPr>
          <w:rFonts w:ascii="Arial" w:hAnsi="Arial" w:cs="Arial"/>
        </w:rPr>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4.5.1</w:t>
      </w:r>
      <w:r>
        <w:rPr>
          <w:rFonts w:ascii="Arial" w:hAnsi="Arial" w:cs="Arial"/>
        </w:rPr>
        <w:t xml:space="preserve">. Aquele que não atenda às condições deste Edital e seu(s) anexo(s);</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4.5.2.</w:t>
      </w:r>
      <w:r>
        <w:rPr>
          <w:rFonts w:ascii="Arial" w:hAnsi="Arial" w:cs="Arial"/>
        </w:rPr>
        <w:t xml:space="preserve"> Aqueles que se encontrem sob falência, concurso de credores, dissolução ou liquidação, ressalvados os que tenham plano de recuperação judicial aprovado em assembleia geral de credores e homologado pelo juiz.</w:t>
      </w:r>
      <w:r>
        <w:rPr>
          <w:rFonts w:ascii="Arial" w:hAnsi="Arial" w:cs="Arial"/>
        </w:rPr>
      </w:r>
    </w:p>
    <w:p>
      <w:pPr>
        <w:pStyle w:val="828"/>
        <w:pBdr/>
        <w:spacing w:after="160" w:before="160"/>
        <w:ind w:left="284"/>
        <w:jc w:val="both"/>
        <w:rPr>
          <w:rFonts w:ascii="Arial" w:hAnsi="Arial" w:cs="Arial"/>
        </w:rPr>
      </w:pPr>
      <w:r>
        <w:rPr>
          <w:rFonts w:ascii="Arial" w:hAnsi="Arial" w:eastAsia="SimSun" w:cs="Arial"/>
          <w:b/>
        </w:rPr>
        <w:t xml:space="preserve">4.5.3. Empresas reunidas em consórcio, qualquer que seja sua forma de constituição.</w:t>
      </w:r>
      <w:r>
        <w:rPr>
          <w:rFonts w:ascii="Arial" w:hAnsi="Arial" w:cs="Arial"/>
        </w:rPr>
      </w:r>
      <w:r>
        <w:rPr>
          <w:rFonts w:ascii="Arial" w:hAnsi="Arial" w:cs="Arial"/>
        </w:rPr>
      </w:r>
    </w:p>
    <w:p>
      <w:pPr>
        <w:pStyle w:val="828"/>
        <w:pBdr/>
        <w:spacing/>
        <w:ind w:left="426"/>
        <w:jc w:val="both"/>
        <w:rPr>
          <w:rFonts w:ascii="Arial" w:hAnsi="Arial" w:cs="Arial"/>
        </w:rPr>
      </w:pPr>
      <w:r>
        <w:rPr>
          <w:rFonts w:ascii="Arial" w:hAnsi="Arial" w:eastAsia="SimSun" w:cs="Arial"/>
          <w:b/>
        </w:rPr>
        <w:t xml:space="preserve">4.5.3.1. </w:t>
      </w:r>
      <w:r>
        <w:rPr>
          <w:rFonts w:ascii="Arial" w:hAnsi="Arial" w:cs="Arial"/>
        </w:rPr>
        <w:t xml:space="preserve">O presente edital não prevê as condições de participação de empresas reunidas em consórcio, vez que as lici</w:t>
      </w:r>
      <w:r>
        <w:rPr>
          <w:rFonts w:ascii="Arial" w:hAnsi="Arial" w:cs="Arial"/>
        </w:rPr>
        <w:t xml:space="preserve">tações que demandam essa participação são aquelas que envolvem serviços de grande vulto e/ou de alta complexidade técnica. Como o presente edital foi elaborado com foco no dia a dia da Administração, consignou-se a vedação acima.</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4.5.4.</w:t>
      </w:r>
      <w:r>
        <w:rPr>
          <w:rFonts w:ascii="Arial" w:hAnsi="Arial" w:cs="Arial"/>
        </w:rPr>
        <w:t xml:space="preserve"> Organizações da Sociedade Civil de Interesse Público - OSCIP, atuando nessa condição;</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4.5.5.</w:t>
      </w:r>
      <w:r>
        <w:rPr>
          <w:rFonts w:ascii="Arial" w:hAnsi="Arial" w:cs="Arial"/>
        </w:rPr>
        <w:t xml:space="preserve"> Empresa suspensa de licitar e contratar com a Prefeitura Municipal de Rondonópolis;</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4.5.6.</w:t>
      </w:r>
      <w:r>
        <w:rPr>
          <w:rFonts w:ascii="Arial" w:hAnsi="Arial" w:cs="Arial"/>
        </w:rPr>
        <w:t xml:space="preserve"> Empresa que esteja declarada inidônea para licitar ou contratar com a Administração Pública</w:t>
      </w:r>
      <w:r>
        <w:rPr>
          <w:rFonts w:ascii="Arial" w:hAnsi="Arial" w:cs="Arial"/>
        </w:rPr>
        <w:t xml:space="preserve">, enquanto perdurarem os motivos da punição ou até que seja promovida a reabilitação perante a própria autoridade que aplicou a penalidade;</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4.5.7.</w:t>
      </w:r>
      <w:r>
        <w:rPr>
          <w:rFonts w:ascii="Arial" w:hAnsi="Arial" w:cs="Arial"/>
        </w:rPr>
        <w:t xml:space="preserve"> Cooperativas, exclusivamente nos casos em que o objeto do certame requer subordinação de mão de obra (Fundamentação: art. 5º da Lei 12.690/12 e acórdãos TCU 1937/03, 307/04, 1148/05);</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4.5.8.</w:t>
      </w:r>
      <w:r>
        <w:rPr>
          <w:rFonts w:ascii="Arial" w:hAnsi="Arial" w:cs="Arial"/>
        </w:rPr>
        <w:t xml:space="preserve"> Cooperativas em que seu objeto social não tem escopo com o objeto do certame. (Fundamentação: art. 10, § 2º da Lei 12.690/12).</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4.5.9.</w:t>
      </w:r>
      <w:r>
        <w:rPr>
          <w:rFonts w:ascii="Arial" w:hAnsi="Arial" w:cs="Arial"/>
        </w:rPr>
        <w:t xml:space="preserve"> Empresas controladoras, controladas ou c</w:t>
      </w:r>
      <w:r>
        <w:rPr>
          <w:rFonts w:ascii="Arial" w:hAnsi="Arial" w:cs="Arial"/>
        </w:rPr>
        <w:t xml:space="preserve">oligadas, nos termos da Lei Federal nº 6.404, de 15 de dezembro de 1976, concorrendo entre si;</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4.5.10.</w:t>
      </w:r>
      <w:r>
        <w:rPr>
          <w:rFonts w:ascii="Arial" w:hAnsi="Arial" w:cs="Arial"/>
        </w:rPr>
        <w:t xml:space="preserve"> Empresas estrangeiras que não funcionem no País.</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4.5.11</w:t>
      </w:r>
      <w:r>
        <w:rPr>
          <w:rFonts w:ascii="Arial" w:hAnsi="Arial" w:cs="Arial"/>
        </w:rPr>
        <w:t xml:space="preserve">. Autor do anteprojeto, do projeto básico ou do projeto executivo, pessoa física ou jurídica, quando a licitação versar sobre obra, serviços ou fornecimento de bens a ele relacionados.</w:t>
      </w:r>
      <w:r>
        <w:rPr>
          <w:rFonts w:ascii="Arial" w:hAnsi="Arial" w:cs="Arial"/>
        </w:rPr>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4.5.11.1.</w:t>
      </w:r>
      <w:r>
        <w:rPr>
          <w:rFonts w:ascii="Arial" w:hAnsi="Arial" w:cs="Arial"/>
        </w:rPr>
        <w:t xml:space="preserve"> Equiparam-se aos autores do projeto as empresas integrantes do mesmo grupo econômico.</w:t>
      </w:r>
      <w:r>
        <w:rPr>
          <w:rFonts w:ascii="Arial" w:hAnsi="Arial" w:cs="Arial"/>
        </w:rPr>
      </w:r>
    </w:p>
    <w:p>
      <w:pPr>
        <w:pStyle w:val="828"/>
        <w:pBdr/>
        <w:spacing w:after="160" w:before="160"/>
        <w:ind w:left="284"/>
        <w:jc w:val="both"/>
        <w:rPr>
          <w:rFonts w:ascii="Arial" w:hAnsi="Arial" w:cs="Arial"/>
        </w:rPr>
      </w:pPr>
      <w:r>
        <w:rPr>
          <w:rFonts w:ascii="Arial" w:hAnsi="Arial" w:cs="Arial"/>
          <w:b/>
        </w:rPr>
        <w:t xml:space="preserve">4.5.12. </w:t>
      </w:r>
      <w:r>
        <w:rPr>
          <w:rFonts w:ascii="Arial" w:hAnsi="Arial" w:cs="Arial"/>
        </w:rPr>
        <w:t xml:space="preserve">Aquele que de forma isolada ou em consórcio, for responsável pela</w:t>
      </w:r>
      <w:r>
        <w:rPr>
          <w:rFonts w:ascii="Arial" w:hAnsi="Arial" w:cs="Arial"/>
        </w:rPr>
        <w:t xml:space="preserve"> elaboração do projeto básico ou do projeto executivo, ou empresa da qual o autor do pr</w:t>
      </w:r>
      <w:r>
        <w:rPr>
          <w:rFonts w:ascii="Arial" w:hAnsi="Arial" w:cs="Arial"/>
        </w:rPr>
        <w:t xml:space="preserve">ojeto seja dirigente, gerente, controlador, acionista ou detentor de mais de 5% (cinco por cento) do capital com direito a voto, responsável técnico ou subcontratado, quando a licitação versar sobre obra, serviços ou fornecimento de bens a ela necessários.</w:t>
      </w:r>
      <w:r>
        <w:rPr>
          <w:rFonts w:ascii="Arial" w:hAnsi="Arial" w:cs="Arial"/>
        </w:rPr>
      </w:r>
    </w:p>
    <w:p>
      <w:pPr>
        <w:pStyle w:val="828"/>
        <w:pBdr/>
        <w:spacing/>
        <w:ind w:left="284"/>
        <w:jc w:val="both"/>
        <w:rPr>
          <w:rFonts w:ascii="Arial" w:hAnsi="Arial" w:cs="Arial"/>
        </w:rPr>
      </w:pPr>
      <w:r>
        <w:rPr>
          <w:rFonts w:ascii="Arial" w:hAnsi="Arial" w:cs="Arial"/>
          <w:b/>
        </w:rPr>
        <w:t xml:space="preserve">4.5.13.</w:t>
      </w:r>
      <w:r>
        <w:rPr>
          <w:rFonts w:ascii="Arial" w:hAnsi="Arial" w:cs="Arial"/>
        </w:rPr>
        <w:t xml:space="preserve"> A critério da Administração e exclusivamente a seu serviço, o autor dos projetos e a empresa a que se referem os itens 4.5.11 e 4.5.12 poderão participar no apo</w:t>
      </w:r>
      <w:r>
        <w:rPr>
          <w:rFonts w:ascii="Arial" w:hAnsi="Arial" w:cs="Arial"/>
        </w:rPr>
        <w:t xml:space="preserve">io das atividades de planejamento da contratação, de execução da licitação ou de gestão do contrato, desde que sob supervisão exclusiva de agentes públicos do órgão ou entidade.</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4.5.14.</w:t>
      </w:r>
      <w:r>
        <w:rPr>
          <w:rFonts w:ascii="Arial" w:hAnsi="Arial" w:cs="Arial"/>
        </w:rPr>
        <w:t xml:space="preserve"> Pessoa física ou jurídica que se encontre, ao tempo da licitação, imp</w:t>
      </w:r>
      <w:r>
        <w:rPr>
          <w:rFonts w:ascii="Arial" w:hAnsi="Arial" w:cs="Arial"/>
        </w:rPr>
        <w:t xml:space="preserve">ossibilitada de participar da licitação em decorrência de sanção que lhe foi imposta, aplicado também ao licitante que atue em substituição a outra pessoa física ou jurídica, com o intuito de burlar a efetividade da sanção a ela aplicada, desde que devidam</w:t>
      </w:r>
      <w:r>
        <w:rPr>
          <w:rFonts w:ascii="Arial" w:hAnsi="Arial" w:cs="Arial"/>
        </w:rPr>
        <w:t xml:space="preserve">ente comprovado o ilícito ou a utilização fraudulenta da personalidade jurídica do licitante.</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4.5.15.</w:t>
      </w:r>
      <w:r>
        <w:rPr>
          <w:rFonts w:ascii="Arial" w:hAnsi="Arial" w:cs="Arial"/>
        </w:rPr>
        <w:t xml:space="preserve"> Aquele que mantenha vínculo de natureza técnica, comercial, econômica, financeira, trabalhista ou</w:t>
      </w:r>
      <w:r>
        <w:rPr>
          <w:rFonts w:ascii="Arial" w:hAnsi="Arial" w:cs="Arial"/>
        </w:rPr>
        <w:t xml:space="preserve"> civil com dirigente do contratante ou com agente público que desempenhe função na licitação ou atue na fiscalização ou na gestão do contrato, ou que deles seja cônjuge, companheiro ou parente em linha reta, colateral ou por afinidade, até o terceiro grau.</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4.5.16.</w:t>
      </w:r>
      <w:r>
        <w:rPr>
          <w:rFonts w:ascii="Arial" w:hAnsi="Arial" w:cs="Arial"/>
        </w:rPr>
        <w:t xml:space="preserve"> Pessoa física ou jurídica que, nos 05 (cinco) </w:t>
      </w:r>
      <w:r>
        <w:rPr>
          <w:rFonts w:ascii="Arial" w:hAnsi="Arial" w:cs="Arial"/>
        </w:rPr>
        <w:t xml:space="preserve">anos anteriores à divulgação </w:t>
      </w:r>
      <w:r>
        <w:rPr>
          <w:rFonts w:ascii="Arial" w:hAnsi="Arial" w:cs="Arial"/>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4.5.17.</w:t>
      </w:r>
      <w:r>
        <w:rPr>
          <w:rFonts w:ascii="Arial" w:hAnsi="Arial" w:cs="Arial"/>
        </w:rPr>
        <w:t xml:space="preserve"> Não poderá participar, direta ou indiretamente, da licitação ou da execução do contrato agente público do órgão ou entidade contratante, devendo ser observadas as situações que possam configurar conflito de interesses</w:t>
      </w:r>
      <w:r>
        <w:rPr>
          <w:rFonts w:ascii="Arial" w:hAnsi="Arial" w:cs="Arial"/>
        </w:rPr>
        <w:t xml:space="preserve"> no exercício ou após o exercício do cargo ou emprego, nos termos da legislação que disciplina a matéria, conforme § 1º do art. 9º da Lei nº 14.133, de 2021.</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4.5.18.</w:t>
      </w:r>
      <w:r>
        <w:rPr>
          <w:rFonts w:ascii="Arial" w:hAnsi="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9"/>
        <w:pBdr/>
        <w:spacing w:after="0" w:before="0"/>
        <w:ind/>
        <w:rPr>
          <w:sz w:val="20"/>
          <w:szCs w:val="20"/>
        </w:rPr>
      </w:pPr>
      <w:r/>
      <w:bookmarkStart w:id="5" w:name="__RefHeading___Toc190782011"/>
      <w:r>
        <w:rPr>
          <w:rFonts w:eastAsia="SimSun"/>
          <w:sz w:val="20"/>
          <w:szCs w:val="20"/>
          <w:lang w:val="pt-BR"/>
        </w:rPr>
        <w:t xml:space="preserve">5. DO CREDENCIAMENTO:</w:t>
      </w:r>
      <w:bookmarkEnd w:id="5"/>
      <w:r>
        <w:rPr>
          <w:rFonts w:eastAsia="SimSun"/>
          <w:sz w:val="20"/>
          <w:szCs w:val="20"/>
          <w:lang w:val="pt-BR"/>
        </w:rPr>
        <w:t xml:space="preserve"> </w:t>
      </w:r>
      <w:r>
        <w:rPr>
          <w:sz w:val="20"/>
          <w:szCs w:val="20"/>
        </w:rPr>
      </w:r>
      <w:r>
        <w:rPr>
          <w:sz w:val="20"/>
          <w:szCs w:val="20"/>
        </w:rPr>
      </w:r>
    </w:p>
    <w:p>
      <w:pPr>
        <w:pStyle w:val="828"/>
        <w:pBdr/>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spacing/>
        <w:ind/>
        <w:jc w:val="both"/>
        <w:rPr>
          <w:rFonts w:ascii="Arial" w:hAnsi="Arial" w:cs="Arial"/>
        </w:rPr>
      </w:pPr>
      <w:r>
        <w:rPr>
          <w:rFonts w:ascii="Arial" w:hAnsi="Arial" w:cs="Arial"/>
          <w:b/>
        </w:rPr>
        <w:t xml:space="preserve">5.1.</w:t>
      </w:r>
      <w:r>
        <w:rPr>
          <w:rFonts w:ascii="Arial" w:hAnsi="Arial" w:cs="Arial"/>
        </w:rPr>
        <w:t xml:space="preserve"> Para participação da licitação ou simples acompanha-la, o interessa</w:t>
      </w:r>
      <w:r>
        <w:rPr>
          <w:rFonts w:ascii="Arial" w:hAnsi="Arial" w:cs="Arial"/>
        </w:rPr>
        <w:t xml:space="preserve">do deverá acessar, na internet, a página </w:t>
      </w:r>
      <w:r>
        <w:rPr>
          <w:rFonts w:ascii="Arial" w:hAnsi="Arial" w:cs="Arial"/>
          <w:b/>
        </w:rPr>
        <w:t xml:space="preserve">bllcompras.com</w:t>
      </w:r>
      <w:r>
        <w:rPr>
          <w:rFonts w:ascii="Arial" w:hAnsi="Arial" w:cs="Arial"/>
        </w:rPr>
        <w:t xml:space="preserve">, onde se encontra o link para o “</w:t>
      </w:r>
      <w:r>
        <w:rPr>
          <w:rFonts w:ascii="Arial" w:hAnsi="Arial" w:cs="Arial"/>
          <w:b/>
        </w:rPr>
        <w:t xml:space="preserve">Acesso Identificado</w:t>
      </w:r>
      <w:r>
        <w:rPr>
          <w:rFonts w:ascii="Arial" w:hAnsi="Arial" w:cs="Arial"/>
        </w:rPr>
        <w:t xml:space="preserve">”, deverão dispor de chave de identificação e de senha pessoais e intransferíveis, obtidas junto à </w:t>
      </w:r>
      <w:r>
        <w:rPr>
          <w:rFonts w:ascii="Arial" w:hAnsi="Arial" w:cs="Arial"/>
          <w:b/>
        </w:rPr>
        <w:t xml:space="preserve">BLL – Bolsa de Licitações e Leilões: </w:t>
      </w:r>
      <w:r>
        <w:rPr>
          <w:rFonts w:ascii="Arial" w:hAnsi="Arial" w:cs="Arial"/>
        </w:rPr>
        <w:fldChar w:fldCharType="begin"/>
      </w:r>
      <w:r>
        <w:rPr>
          <w:rFonts w:ascii="Arial" w:hAnsi="Arial" w:cs="Arial"/>
        </w:rPr>
        <w:instrText xml:space="preserve"> HYPERLINK "http://www.bllcompras.org.br/"</w:instrText>
      </w:r>
      <w:r>
        <w:rPr>
          <w:rFonts w:ascii="Arial" w:hAnsi="Arial" w:cs="Arial"/>
        </w:rPr>
        <w:fldChar w:fldCharType="separate"/>
      </w:r>
      <w:r>
        <w:rPr>
          <w:rStyle w:val="900"/>
          <w:rFonts w:ascii="Arial" w:hAnsi="Arial" w:cs="Arial"/>
          <w:b/>
        </w:rPr>
        <w:t xml:space="preserve">bllcompras.com</w:t>
      </w:r>
      <w:r>
        <w:rPr>
          <w:rFonts w:ascii="Arial" w:hAnsi="Arial" w:cs="Arial"/>
        </w:rPr>
        <w:fldChar w:fldCharType="end"/>
      </w:r>
      <w:r>
        <w:rPr>
          <w:rFonts w:ascii="Arial" w:hAnsi="Arial" w:cs="Arial"/>
          <w:b/>
        </w:rPr>
        <w:t xml:space="preserve">. </w:t>
      </w:r>
      <w:r>
        <w:rPr>
          <w:rFonts w:ascii="Arial" w:hAnsi="Arial" w:cs="Arial"/>
        </w:rPr>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5.2.</w:t>
      </w:r>
      <w:r>
        <w:rPr>
          <w:rFonts w:ascii="Arial" w:hAnsi="Arial" w:cs="Arial"/>
        </w:rPr>
        <w:t xml:space="preserve"> As propostas comerciais e os documentos exigidos para habilitação poderão ser cadastrados até </w:t>
      </w:r>
      <w:r>
        <w:rPr>
          <w:rFonts w:ascii="Arial" w:hAnsi="Arial" w:cs="Arial"/>
          <w:b/>
        </w:rPr>
        <w:t xml:space="preserve">meia hora antes</w:t>
      </w:r>
      <w:r>
        <w:rPr>
          <w:rFonts w:ascii="Arial" w:hAnsi="Arial" w:cs="Arial"/>
        </w:rPr>
        <w:t xml:space="preserve"> do horário estabelecido no preambulo deste edital </w:t>
      </w:r>
      <w:r>
        <w:rPr>
          <w:rFonts w:ascii="Arial" w:hAnsi="Arial" w:cs="Arial"/>
          <w:b/>
          <w:color w:val="000000"/>
        </w:rPr>
        <w:t xml:space="preserve">(horário de Brasília) </w:t>
      </w:r>
      <w:r>
        <w:rPr>
          <w:rFonts w:ascii="Arial" w:hAnsi="Arial" w:cs="Arial"/>
        </w:rPr>
        <w:t xml:space="preserve">por meio do ender</w:t>
      </w:r>
      <w:r>
        <w:rPr>
          <w:rFonts w:ascii="Arial" w:hAnsi="Arial" w:cs="Arial"/>
        </w:rPr>
        <w:t xml:space="preserve">eço </w:t>
      </w:r>
      <w:r>
        <w:rPr>
          <w:rFonts w:ascii="Arial" w:hAnsi="Arial" w:cs="Arial"/>
          <w:b/>
        </w:rPr>
        <w:t xml:space="preserve">bllcompras.com</w:t>
      </w:r>
      <w:r>
        <w:rPr>
          <w:rFonts w:ascii="Arial" w:hAnsi="Arial" w:cs="Arial"/>
        </w:rPr>
        <w:t xml:space="preserve">, onde se encontra o link para o “</w:t>
      </w:r>
      <w:r>
        <w:rPr>
          <w:rFonts w:ascii="Arial" w:hAnsi="Arial" w:cs="Arial"/>
          <w:b/>
        </w:rPr>
        <w:t xml:space="preserve">Acesso Identificado</w:t>
      </w:r>
      <w:r>
        <w:rPr>
          <w:rFonts w:ascii="Arial" w:hAnsi="Arial" w:cs="Arial"/>
        </w:rPr>
        <w:t xml:space="preserve">”, podendo os interessados cadastrar ou substituir propostas no sistema eletrônico;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426"/>
        <w:jc w:val="both"/>
        <w:rPr>
          <w:rFonts w:ascii="Arial" w:hAnsi="Arial" w:cs="Arial"/>
        </w:rPr>
      </w:pPr>
      <w:r>
        <w:rPr>
          <w:rFonts w:ascii="Arial" w:hAnsi="Arial" w:cs="Arial"/>
          <w:b/>
        </w:rPr>
        <w:t xml:space="preserve">5.2.1.</w:t>
      </w:r>
      <w:r>
        <w:rPr>
          <w:rFonts w:ascii="Arial" w:hAnsi="Arial" w:cs="Arial"/>
        </w:rPr>
        <w:t xml:space="preserve"> Eventuais </w:t>
      </w:r>
      <w:r>
        <w:rPr>
          <w:rFonts w:ascii="Arial" w:hAnsi="Arial" w:cs="Arial"/>
          <w:b/>
        </w:rPr>
        <w:t xml:space="preserve">dúvidas para obtenção da senha</w:t>
      </w:r>
      <w:r>
        <w:rPr>
          <w:rFonts w:ascii="Arial" w:hAnsi="Arial" w:cs="Arial"/>
        </w:rPr>
        <w:t xml:space="preserve"> de acesso ou qualquer problema com o cadastramento das propostas, o licitante deverá entrar em contato com a </w:t>
      </w:r>
      <w:r>
        <w:rPr>
          <w:rFonts w:ascii="Arial" w:hAnsi="Arial" w:cs="Arial"/>
          <w:b/>
        </w:rPr>
        <w:t xml:space="preserve">BLL </w:t>
      </w:r>
      <w:r>
        <w:rPr>
          <w:rFonts w:ascii="Arial" w:hAnsi="Arial" w:cs="Arial"/>
        </w:rPr>
        <w:t xml:space="preserve">pelos telefones </w:t>
      </w:r>
      <w:r>
        <w:rPr>
          <w:rFonts w:ascii="Arial" w:hAnsi="Arial" w:cs="Arial"/>
          <w:b/>
        </w:rPr>
        <w:t xml:space="preserve">(041) 3097-4600; 3097-4623; 3097-4646; 3148-9870</w:t>
      </w:r>
      <w:r>
        <w:rPr>
          <w:rFonts w:ascii="Arial" w:hAnsi="Arial" w:cs="Arial"/>
        </w:rPr>
        <w:t xml:space="preserve"> pois é de inteira responsabilidade da mesma em sanar problemas relacionados com o sistema; </w:t>
      </w:r>
      <w:r>
        <w:rPr>
          <w:rFonts w:ascii="Arial" w:hAnsi="Arial" w:cs="Arial"/>
        </w:rPr>
      </w:r>
    </w:p>
    <w:p>
      <w:pPr>
        <w:pStyle w:val="828"/>
        <w:pBdr/>
        <w:tabs>
          <w:tab w:val="left" w:leader="none" w:pos="9030"/>
        </w:tabs>
        <w:spacing/>
        <w:ind w:left="709"/>
        <w:jc w:val="both"/>
        <w:rPr>
          <w:rFonts w:ascii="Arial" w:hAnsi="Arial" w:cs="Arial"/>
        </w:rPr>
      </w:pPr>
      <w:r>
        <w:rPr>
          <w:rFonts w:ascii="Arial" w:hAnsi="Arial" w:cs="Arial"/>
        </w:rPr>
        <w:tab/>
      </w:r>
      <w:r>
        <w:rPr>
          <w:rFonts w:ascii="Arial" w:hAnsi="Arial" w:cs="Arial"/>
        </w:rPr>
      </w:r>
    </w:p>
    <w:p>
      <w:pPr>
        <w:pStyle w:val="828"/>
        <w:pBdr/>
        <w:spacing/>
        <w:ind/>
        <w:jc w:val="both"/>
        <w:rPr>
          <w:rFonts w:ascii="Arial" w:hAnsi="Arial" w:cs="Arial"/>
        </w:rPr>
      </w:pPr>
      <w:r>
        <w:rPr>
          <w:rFonts w:ascii="Arial" w:hAnsi="Arial" w:cs="Arial"/>
          <w:b/>
        </w:rPr>
        <w:t xml:space="preserve">5.3. </w:t>
      </w:r>
      <w:r>
        <w:rPr>
          <w:rFonts w:ascii="Arial" w:hAnsi="Arial" w:cs="Arial"/>
        </w:rPr>
        <w:t xml:space="preserve">A chave de identificação e sen</w:t>
      </w:r>
      <w:r>
        <w:rPr>
          <w:rFonts w:ascii="Arial" w:hAnsi="Arial" w:cs="Arial"/>
        </w:rPr>
        <w:t xml:space="preserve">ha poderão ser utilizadas em qualquer pregão eletrônico, salvo quando canceladas por solicitação do credenciado ou por iniciativa da BLL, devidamente justificado.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5.4.</w:t>
      </w:r>
      <w:r>
        <w:rPr>
          <w:rFonts w:ascii="Arial" w:hAnsi="Arial" w:cs="Arial"/>
        </w:rPr>
        <w:t xml:space="preserve"> É de exclusiva responsabilidade do usuário o sigilo da se</w:t>
      </w:r>
      <w:r>
        <w:rPr>
          <w:rFonts w:ascii="Arial" w:hAnsi="Arial" w:cs="Arial"/>
        </w:rPr>
        <w:t xml:space="preserve">nha, bem como seu uso em qualquer transação efetuada diretamente ou por seu representante, não cabendo à Prefeitura Municipal de Rondonópolis-MT e/ou BLL, a responsabilidade por eventuais danos decorrentes de uso indevido da senha, ainda que por terceiros.</w:t>
      </w:r>
      <w:r>
        <w:rPr>
          <w:rFonts w:ascii="Arial" w:hAnsi="Arial" w:cs="Arial"/>
        </w:rPr>
      </w:r>
    </w:p>
    <w:p>
      <w:pPr>
        <w:pStyle w:val="828"/>
        <w:pBdr/>
        <w:spacing/>
        <w:ind w:left="284"/>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5.5.</w:t>
      </w:r>
      <w:r>
        <w:rPr>
          <w:rFonts w:ascii="Arial" w:hAnsi="Arial" w:cs="Arial"/>
        </w:rPr>
        <w:t xml:space="preserve"> O credenciamento do f</w:t>
      </w:r>
      <w:r>
        <w:rPr>
          <w:rFonts w:ascii="Arial" w:hAnsi="Arial" w:cs="Arial"/>
        </w:rPr>
        <w:t xml:space="preserve">ornecedor e de seu representante legal junto ao sistema eletrônico implica a responsabilidade legal pelos atos praticados e a presunção de capacidade técnica para realização das transações inerentes ao pregão eletrônico.</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5.6.</w:t>
      </w:r>
      <w:r>
        <w:rPr>
          <w:rFonts w:ascii="Arial" w:hAnsi="Arial" w:cs="Arial"/>
        </w:rPr>
        <w:t xml:space="preserve"> Como requisito para participa</w:t>
      </w:r>
      <w:r>
        <w:rPr>
          <w:rFonts w:ascii="Arial" w:hAnsi="Arial" w:cs="Arial"/>
        </w:rPr>
        <w:t xml:space="preserve">ção deste Pregão Eletrônico, o Licitante deverá manifestar, em campo próprio do Sistema BLL, que sua proposta se encontra em conformidade com as exigências previstas e cumpre plenamente os requisitos de habilitação deste Edital, ressalvados os casos de par</w:t>
      </w:r>
      <w:r>
        <w:rPr>
          <w:rFonts w:ascii="Arial" w:hAnsi="Arial" w:cs="Arial"/>
        </w:rPr>
        <w:t xml:space="preserve">ticipação de microempresa e de empresa de pequeno porte, no que concerne a regularidade fiscal e trabalhista.</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5.7.</w:t>
      </w:r>
      <w:r>
        <w:rPr>
          <w:rFonts w:ascii="Arial" w:hAnsi="Arial" w:cs="Arial"/>
        </w:rPr>
        <w:t xml:space="preserve"> Em se tratando de microempresa e empresa de pequeno porte, nos termos da </w:t>
      </w:r>
      <w:r>
        <w:rPr>
          <w:rFonts w:ascii="Arial" w:hAnsi="Arial" w:cs="Arial"/>
          <w:b/>
        </w:rPr>
        <w:t xml:space="preserve">Lei Complementar nº 123, de 14.12.2006, alterada pela Lei complementar 147/2014, de 07.08.2014,</w:t>
      </w:r>
      <w:r>
        <w:rPr>
          <w:rFonts w:ascii="Arial" w:hAnsi="Arial" w:cs="Arial"/>
        </w:rPr>
        <w:t xml:space="preserve"> para que essa possa gozar dos </w:t>
      </w:r>
      <w:r>
        <w:rPr>
          <w:rFonts w:ascii="Arial" w:hAnsi="Arial" w:cs="Arial"/>
          <w:b/>
        </w:rPr>
        <w:t xml:space="preserve">benefícios previstos no capítulo V</w:t>
      </w:r>
      <w:r>
        <w:rPr>
          <w:rFonts w:ascii="Arial" w:hAnsi="Arial" w:cs="Arial"/>
        </w:rPr>
        <w:t xml:space="preserve"> da referida Lei, é necessário, à época do credenciamento acrescentar as expressões “</w:t>
      </w:r>
      <w:r>
        <w:rPr>
          <w:rFonts w:ascii="Arial" w:hAnsi="Arial" w:cs="Arial"/>
          <w:b/>
        </w:rPr>
        <w:t xml:space="preserve">Microempresa</w:t>
      </w:r>
      <w:r>
        <w:rPr>
          <w:rFonts w:ascii="Arial" w:hAnsi="Arial" w:cs="Arial"/>
        </w:rPr>
        <w:t xml:space="preserve">” ou “</w:t>
      </w:r>
      <w:r>
        <w:rPr>
          <w:rFonts w:ascii="Arial" w:hAnsi="Arial" w:cs="Arial"/>
          <w:b/>
        </w:rPr>
        <w:t xml:space="preserve">Empresa de Pequeno Porte</w:t>
      </w:r>
      <w:r>
        <w:rPr>
          <w:rFonts w:ascii="Arial" w:hAnsi="Arial" w:cs="Arial"/>
        </w:rPr>
        <w:t xml:space="preserve">” ou suas respectivas abreviações, “</w:t>
      </w:r>
      <w:r>
        <w:rPr>
          <w:rFonts w:ascii="Arial" w:hAnsi="Arial" w:cs="Arial"/>
          <w:b/>
        </w:rPr>
        <w:t xml:space="preserve">ME</w:t>
      </w:r>
      <w:r>
        <w:rPr>
          <w:rFonts w:ascii="Arial" w:hAnsi="Arial" w:cs="Arial"/>
        </w:rPr>
        <w:t xml:space="preserve">” ou “</w:t>
      </w:r>
      <w:r>
        <w:rPr>
          <w:rFonts w:ascii="Arial" w:hAnsi="Arial" w:cs="Arial"/>
          <w:b/>
        </w:rPr>
        <w:t xml:space="preserve">EPP</w:t>
      </w:r>
      <w:r>
        <w:rPr>
          <w:rFonts w:ascii="Arial" w:hAnsi="Arial" w:cs="Arial"/>
        </w:rPr>
        <w:t xml:space="preserve">”, à sua firma ou denominação conforme o caso.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426"/>
        <w:jc w:val="both"/>
        <w:rPr>
          <w:rFonts w:ascii="Arial" w:hAnsi="Arial" w:cs="Arial"/>
        </w:rPr>
      </w:pPr>
      <w:r>
        <w:rPr>
          <w:rFonts w:ascii="Arial" w:hAnsi="Arial" w:cs="Arial"/>
          <w:b/>
        </w:rPr>
        <w:t xml:space="preserve">5.7.1.</w:t>
      </w:r>
      <w:r>
        <w:rPr>
          <w:rFonts w:ascii="Arial" w:hAnsi="Arial" w:cs="Arial"/>
        </w:rPr>
        <w:t xml:space="preserve"> Caso o proponente já esteja cadastrado no Sistema e não constem os dados acima em sua firma ou denominação, deverá providenciar a alteração de seu cadastro no Sistema. Para tanto, deverá dirigir-se à </w:t>
      </w:r>
      <w:r>
        <w:rPr>
          <w:rFonts w:ascii="Arial" w:hAnsi="Arial" w:cs="Arial"/>
          <w:b/>
        </w:rPr>
        <w:t xml:space="preserve">BLL</w:t>
      </w:r>
      <w:r>
        <w:rPr>
          <w:rFonts w:ascii="Arial" w:hAnsi="Arial" w:cs="Arial"/>
        </w:rPr>
        <w:t xml:space="preserve">.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5.8.</w:t>
      </w:r>
      <w:r>
        <w:rPr>
          <w:rFonts w:ascii="Arial" w:hAnsi="Arial" w:cs="Arial"/>
        </w:rPr>
        <w:t xml:space="preserve"> É vedado a qualquer credenciado representar mais de uma empresa proponente, salvo, nos casos de representação para itens/lotes distintos.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9"/>
        <w:pBdr/>
        <w:spacing w:after="0" w:before="0"/>
        <w:ind/>
        <w:rPr>
          <w:sz w:val="20"/>
          <w:szCs w:val="20"/>
          <w:lang w:val="pt-BR"/>
        </w:rPr>
      </w:pPr>
      <w:r/>
      <w:bookmarkStart w:id="6" w:name="__RefHeading___Toc190782012"/>
      <w:r/>
      <w:bookmarkEnd w:id="6"/>
      <w:r>
        <w:rPr>
          <w:rFonts w:eastAsia="SimSun"/>
          <w:sz w:val="20"/>
          <w:szCs w:val="20"/>
          <w:lang w:val="pt-BR"/>
        </w:rPr>
        <w:t xml:space="preserve">6. DA PARTICIPAÇÃO NA LICITAÇÃO E CADASTRO DA PROPOSTA NO SISTEMA BLL:</w:t>
      </w:r>
      <w:r>
        <w:rPr>
          <w:sz w:val="20"/>
          <w:szCs w:val="20"/>
          <w:lang w:val="pt-BR"/>
        </w:rPr>
      </w:r>
      <w:r>
        <w:rPr>
          <w:sz w:val="20"/>
          <w:szCs w:val="20"/>
          <w:lang w:val="pt-BR"/>
        </w:rPr>
      </w:r>
    </w:p>
    <w:p>
      <w:pPr>
        <w:pStyle w:val="828"/>
        <w:pBdr/>
        <w:spacing/>
        <w:ind/>
        <w:jc w:val="both"/>
        <w:rPr>
          <w:rFonts w:ascii="Arial" w:hAnsi="Arial" w:eastAsia="SimSun" w:cs="Arial"/>
          <w:b/>
        </w:rPr>
      </w:pPr>
      <w:r>
        <w:rPr>
          <w:rFonts w:ascii="Arial" w:hAnsi="Arial" w:eastAsia="SimSun" w:cs="Arial"/>
          <w:b/>
        </w:rPr>
      </w:r>
      <w:r>
        <w:rPr>
          <w:rFonts w:ascii="Arial" w:hAnsi="Arial" w:eastAsia="SimSun" w:cs="Arial"/>
          <w:b/>
        </w:rPr>
      </w:r>
    </w:p>
    <w:p>
      <w:pPr>
        <w:pStyle w:val="828"/>
        <w:pBdr/>
        <w:spacing/>
        <w:ind/>
        <w:jc w:val="both"/>
        <w:rPr>
          <w:rFonts w:ascii="Arial" w:hAnsi="Arial" w:cs="Arial"/>
          <w:u w:val="single"/>
        </w:rPr>
      </w:pPr>
      <w:r>
        <w:rPr>
          <w:rFonts w:ascii="Arial" w:hAnsi="Arial" w:cs="Arial"/>
          <w:b/>
          <w:u w:val="single"/>
        </w:rPr>
        <w:t xml:space="preserve">6.1</w:t>
      </w:r>
      <w:r>
        <w:rPr>
          <w:rFonts w:ascii="Arial" w:hAnsi="Arial" w:cs="Arial"/>
          <w:u w:val="single"/>
        </w:rPr>
        <w:t xml:space="preserve">. Não haverá possib</w:t>
      </w:r>
      <w:r>
        <w:rPr>
          <w:rFonts w:ascii="Arial" w:hAnsi="Arial" w:cs="Arial"/>
          <w:u w:val="single"/>
        </w:rPr>
        <w:t xml:space="preserve">ilidade de ser apresenta</w:t>
      </w:r>
      <w:r>
        <w:rPr>
          <w:rFonts w:ascii="Arial" w:hAnsi="Arial" w:cs="Arial"/>
          <w:u w:val="single"/>
        </w:rPr>
        <w:t xml:space="preserve">do preços diferentes em razão de entregas em locais diferentes, pela forma de acondicionamento até pela natureza do objeto licitado, ou em razão do tamanho do lote (artigo 82, III, da Lei 14.133/2021 e artigo 301, VIII do Decreto Municipal n° 11.685/2023).</w:t>
      </w:r>
      <w:r>
        <w:rPr>
          <w:rFonts w:ascii="Arial" w:hAnsi="Arial" w:cs="Arial"/>
          <w:u w:val="single"/>
        </w:rPr>
      </w:r>
    </w:p>
    <w:p>
      <w:pPr>
        <w:pStyle w:val="828"/>
        <w:pBdr/>
        <w:spacing/>
        <w:ind/>
        <w:jc w:val="both"/>
        <w:rPr>
          <w:rFonts w:ascii="Arial" w:hAnsi="Arial" w:cs="Arial"/>
          <w:u w:val="single"/>
        </w:rPr>
      </w:pPr>
      <w:r>
        <w:rPr>
          <w:rFonts w:ascii="Arial" w:hAnsi="Arial" w:cs="Arial"/>
          <w:u w:val="single"/>
        </w:rPr>
      </w:r>
      <w:r>
        <w:rPr>
          <w:rFonts w:ascii="Arial" w:hAnsi="Arial" w:cs="Arial"/>
          <w:u w:val="single"/>
        </w:rPr>
      </w:r>
    </w:p>
    <w:p>
      <w:pPr>
        <w:pStyle w:val="828"/>
        <w:pBdr/>
        <w:spacing/>
        <w:ind/>
        <w:jc w:val="both"/>
        <w:rPr>
          <w:rFonts w:ascii="Arial" w:hAnsi="Arial" w:cs="Arial"/>
          <w:u w:val="single"/>
        </w:rPr>
      </w:pPr>
      <w:r>
        <w:rPr>
          <w:rFonts w:ascii="Arial" w:hAnsi="Arial" w:cs="Arial"/>
          <w:b/>
          <w:u w:val="single"/>
        </w:rPr>
        <w:t xml:space="preserve">6.1.1.</w:t>
      </w:r>
      <w:r>
        <w:rPr>
          <w:rFonts w:ascii="Arial" w:hAnsi="Arial" w:cs="Arial"/>
          <w:u w:val="single"/>
        </w:rPr>
        <w:t xml:space="preserve"> Não haverá a possibilidade de o licitante oferecer proposta em quantitativo inferior ao máximo previsto no edital, obrigando-se nos limites dele (art. 82, IV da Lei 14.133/2021 e art. 301, IX do Decreto 11.685/2023).</w:t>
      </w:r>
      <w:r>
        <w:rPr>
          <w:rFonts w:ascii="Arial" w:hAnsi="Arial" w:cs="Arial"/>
          <w:u w:val="single"/>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Style w:val="944"/>
          <w:rFonts w:ascii="Arial" w:hAnsi="Arial" w:cs="Arial"/>
          <w:b/>
          <w:color w:val="000000"/>
          <w:shd w:val="clear" w:color="auto" w:fill="ffffff"/>
          <w:lang w:val="ar-SA"/>
        </w:rPr>
        <w:t xml:space="preserve">6.2.</w:t>
      </w:r>
      <w:r>
        <w:rPr>
          <w:rStyle w:val="944"/>
          <w:rFonts w:ascii="Arial" w:hAnsi="Arial" w:cs="Arial"/>
          <w:color w:val="000000"/>
          <w:shd w:val="clear" w:color="auto" w:fill="ffffff"/>
          <w:lang w:val="ar-SA"/>
        </w:rPr>
        <w:t xml:space="preserve"> </w:t>
      </w:r>
      <w:r>
        <w:rPr>
          <w:rStyle w:val="944"/>
          <w:rFonts w:ascii="Arial" w:hAnsi="Arial" w:cs="Arial"/>
          <w:color w:val="000000"/>
          <w:shd w:val="clear" w:color="auto" w:fill="ffffff"/>
          <w:lang w:val="ar-SA"/>
        </w:rPr>
        <w:t xml:space="preserve">As propostas iniciais, bem como, todos os documentos exigidos para habilitação deverão ser apresentados via sistema eletrônico. O cadastro da proposta pressupõe o pleno conhe</w:t>
      </w:r>
      <w:r>
        <w:rPr>
          <w:rStyle w:val="944"/>
          <w:rFonts w:ascii="Arial" w:hAnsi="Arial" w:cs="Arial"/>
          <w:color w:val="000000"/>
          <w:shd w:val="clear" w:color="auto" w:fill="ffffff"/>
          <w:lang w:val="ar-SA"/>
        </w:rPr>
        <w:t xml:space="preserve">cimento e atendimento às exigências de habilitação previstas no Edital e seus Anexos. O fornecedor será responsável por todas as transações que forem efetuadas em seu nome no sistema eletrônico, assumindo como firmes e verdadeiras suas propostas e lances. </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rPr>
      </w:pPr>
      <w:r>
        <w:rPr>
          <w:rFonts w:ascii="Arial" w:hAnsi="Arial" w:cs="Arial"/>
          <w:b/>
        </w:rPr>
        <w:t xml:space="preserve">6.3.</w:t>
      </w:r>
      <w:r>
        <w:rPr>
          <w:rFonts w:ascii="Arial" w:hAnsi="Arial" w:cs="Arial"/>
        </w:rPr>
        <w:t xml:space="preserve"> </w:t>
      </w:r>
      <w:bookmarkStart w:id="7" w:name="_Ref167185536"/>
      <w:r>
        <w:rPr>
          <w:rStyle w:val="944"/>
          <w:rFonts w:ascii="Arial" w:hAnsi="Arial" w:cs="Arial"/>
          <w:b/>
          <w:lang w:val="ar-SA"/>
        </w:rPr>
        <w:t xml:space="preserve">As propostas deverão ser cadastradas no sistema com valor unitário do item/</w:t>
      </w:r>
      <w:r>
        <w:rPr>
          <w:rStyle w:val="944"/>
          <w:rFonts w:ascii="Arial" w:hAnsi="Arial" w:cs="Arial"/>
          <w:b/>
          <w:lang w:val="ar-SA"/>
        </w:rPr>
        <w:t xml:space="preserve">lote</w:t>
      </w:r>
      <w:r>
        <w:rPr>
          <w:rStyle w:val="944"/>
          <w:rFonts w:ascii="Arial" w:hAnsi="Arial" w:cs="Arial"/>
          <w:lang w:val="ar-SA"/>
        </w:rPr>
        <w:t xml:space="preserve">. Ao final o próprio sistema da BLL fará a multiplicação e emitirá os relatórios com o (s) valor (es) total (s) do (s) item (s)/ lotes. Os</w:t>
      </w:r>
      <w:r>
        <w:rPr>
          <w:rStyle w:val="944"/>
          <w:rFonts w:ascii="Arial" w:hAnsi="Arial" w:cs="Arial"/>
          <w:b/>
          <w:lang w:val="ar-SA"/>
        </w:rPr>
        <w:t xml:space="preserve"> lances serão sempre em cima do valor unitário do item ou lote conforme o caso.</w:t>
      </w:r>
      <w:bookmarkEnd w:id="7"/>
      <w:r>
        <w:rPr>
          <w:rStyle w:val="944"/>
          <w:rFonts w:ascii="Arial" w:hAnsi="Arial" w:cs="Arial"/>
          <w:lang w:val="ar-SA"/>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6.3.1.</w:t>
      </w:r>
      <w:r>
        <w:rPr>
          <w:rFonts w:ascii="Arial" w:hAnsi="Arial" w:cs="Arial"/>
        </w:rPr>
        <w:t xml:space="preserve"> A apresentaç</w:t>
      </w:r>
      <w:r>
        <w:rPr>
          <w:rFonts w:ascii="Arial" w:hAnsi="Arial" w:cs="Arial"/>
        </w:rPr>
        <w:t xml:space="preserve">ão das propostas, bem como, os lances quando for o caso, demonstra que o licitante tem conhecimento do objeto, valor estimado e atendimento às exigências para habilitação, portanto, demostra pleno conhecimento das regras previstas no Edital e seus Anexos. </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6.3.2.</w:t>
      </w:r>
      <w:r>
        <w:rPr>
          <w:rFonts w:ascii="Arial" w:hAnsi="Arial" w:cs="Arial"/>
        </w:rPr>
        <w:t xml:space="preserve"> A em</w:t>
      </w:r>
      <w:r>
        <w:rPr>
          <w:rFonts w:ascii="Arial" w:hAnsi="Arial" w:cs="Arial"/>
        </w:rPr>
        <w:t xml:space="preserve">presa/licitante será</w:t>
      </w:r>
      <w:r>
        <w:rPr>
          <w:rFonts w:ascii="Arial" w:hAnsi="Arial" w:cs="Arial"/>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000000"/>
        </w:rPr>
        <w:t xml:space="preserve">6.3.3.</w:t>
      </w:r>
      <w:r>
        <w:rPr>
          <w:rFonts w:ascii="Arial" w:hAnsi="Arial" w:cs="Arial"/>
          <w:color w:val="000000"/>
        </w:rPr>
        <w:t xml:space="preserve"> Portanto, o licitante responsabiliza-se exclusiva e formalmente pelas transações efetuadas em seu nome, assume como firmes e verdadeiras suas propostas e seus lances, inclusive os atos praticados diretamente ou por seu represen</w:t>
      </w:r>
      <w:r>
        <w:rPr>
          <w:rFonts w:ascii="Arial" w:hAnsi="Arial" w:cs="Arial"/>
          <w:color w:val="000000"/>
        </w:rPr>
        <w:t xml:space="preserve">tante, excluída a responsabilidade do provedor do sistema ou do órgão ou entidade promotora da licitação por eventuais danos decorrentes de uso indevido das credenciais de acesso, ainda que por terceiros.</w:t>
      </w:r>
      <w:r>
        <w:rPr>
          <w:rFonts w:ascii="Arial" w:hAnsi="Arial" w:cs="Arial"/>
        </w:rPr>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rPr>
        <w:t xml:space="preserve">6.3.4</w:t>
      </w:r>
      <w:r>
        <w:rPr>
          <w:rFonts w:ascii="Arial" w:hAnsi="Arial" w:cs="Arial"/>
        </w:rPr>
        <w:t xml:space="preserve"> Será concedido tratamento favorecido para as microempresas e empresas de pequeno porte, </w:t>
      </w:r>
      <w:r>
        <w:rPr>
          <w:rFonts w:ascii="Arial" w:hAnsi="Arial" w:cs="Arial"/>
          <w:color w:val="000000"/>
        </w:rPr>
        <w:t xml:space="preserve">para as sociedades cooperativas mencionadas no </w:t>
      </w:r>
      <w:r>
        <w:rPr>
          <w:rFonts w:ascii="Arial" w:hAnsi="Arial" w:cs="Arial"/>
        </w:rPr>
        <w:fldChar w:fldCharType="begin"/>
      </w:r>
      <w:r>
        <w:rPr>
          <w:rFonts w:ascii="Arial" w:hAnsi="Arial" w:cs="Arial"/>
        </w:rPr>
        <w:instrText xml:space="preserve"> HYPERLINK "http://www.planalto.gov.br/ccivil_03/_ato2019-2022/2021/lei/L14133.htm" \l "art16"</w:instrText>
      </w:r>
      <w:r>
        <w:rPr>
          <w:rFonts w:ascii="Arial" w:hAnsi="Arial" w:cs="Arial"/>
        </w:rPr>
        <w:fldChar w:fldCharType="separate"/>
      </w:r>
      <w:r>
        <w:rPr>
          <w:rStyle w:val="900"/>
          <w:rFonts w:ascii="Arial" w:hAnsi="Arial" w:cs="Arial"/>
          <w:color w:val="000000"/>
        </w:rPr>
        <w:t xml:space="preserve">artigo 16 da Lei nº 14.133, de 2021</w:t>
      </w:r>
      <w:r>
        <w:rPr>
          <w:rFonts w:ascii="Arial" w:hAnsi="Arial" w:cs="Arial"/>
        </w:rPr>
        <w:fldChar w:fldCharType="end"/>
      </w:r>
      <w:r>
        <w:rPr>
          <w:rFonts w:ascii="Arial" w:hAnsi="Arial" w:cs="Arial"/>
        </w:rPr>
        <w:t xml:space="preserve">, para o agricultor familiar, o </w:t>
      </w:r>
      <w:r>
        <w:rPr>
          <w:rFonts w:ascii="Arial" w:hAnsi="Arial" w:cs="Arial"/>
        </w:rPr>
        <w:t xml:space="preserve">produtor rural pessoa física e para o microempreendedor individual - MEI, nos limites previstos da </w:t>
      </w:r>
      <w:r>
        <w:rPr>
          <w:rFonts w:ascii="Arial" w:hAnsi="Arial" w:cs="Arial"/>
        </w:rPr>
        <w:fldChar w:fldCharType="begin"/>
      </w:r>
      <w:r>
        <w:rPr>
          <w:rFonts w:ascii="Arial" w:hAnsi="Arial" w:cs="Arial"/>
        </w:rPr>
        <w:instrText xml:space="preserve"> HYPERLINK "https://www.planalto.gov.br/ccivil_03/leis/lcp/lcp123.htm"</w:instrText>
      </w:r>
      <w:r>
        <w:rPr>
          <w:rFonts w:ascii="Arial" w:hAnsi="Arial" w:cs="Arial"/>
        </w:rPr>
        <w:fldChar w:fldCharType="separate"/>
      </w:r>
      <w:r>
        <w:rPr>
          <w:rStyle w:val="900"/>
          <w:rFonts w:ascii="Arial" w:hAnsi="Arial" w:cs="Arial"/>
        </w:rPr>
        <w:t xml:space="preserve">Lei Complementar nº 123, de 2006</w:t>
      </w:r>
      <w:r>
        <w:rPr>
          <w:rFonts w:ascii="Arial" w:hAnsi="Arial" w:cs="Arial"/>
        </w:rPr>
        <w:fldChar w:fldCharType="end"/>
      </w:r>
      <w:r>
        <w:rPr>
          <w:rFonts w:ascii="Arial" w:hAnsi="Arial" w:cs="Arial"/>
        </w:rPr>
        <w:t xml:space="preserve"> e do Decreto n.º 8.538, de 2015.</w:t>
      </w:r>
      <w:r>
        <w:rPr>
          <w:rFonts w:ascii="Arial" w:hAnsi="Arial" w:cs="Arial"/>
        </w:rPr>
      </w:r>
    </w:p>
    <w:p>
      <w:pPr>
        <w:pStyle w:val="979"/>
        <w:pBdr/>
        <w:spacing/>
        <w:ind/>
        <w:jc w:val="both"/>
        <w:rPr>
          <w:b/>
          <w:sz w:val="20"/>
          <w:szCs w:val="20"/>
        </w:rPr>
      </w:pPr>
      <w:r>
        <w:rPr>
          <w:b/>
          <w:sz w:val="20"/>
          <w:szCs w:val="20"/>
        </w:rPr>
      </w:r>
      <w:r>
        <w:rPr>
          <w:b/>
          <w:sz w:val="20"/>
          <w:szCs w:val="20"/>
        </w:rPr>
      </w:r>
    </w:p>
    <w:p>
      <w:pPr>
        <w:pStyle w:val="979"/>
        <w:pBdr/>
        <w:spacing/>
        <w:ind/>
        <w:jc w:val="both"/>
        <w:rPr>
          <w:sz w:val="20"/>
          <w:szCs w:val="20"/>
        </w:rPr>
      </w:pPr>
      <w:r>
        <w:rPr>
          <w:b/>
          <w:sz w:val="20"/>
          <w:szCs w:val="20"/>
        </w:rPr>
        <w:t xml:space="preserve">6.4. NA PROPOSTA DE PREÇOS DEVERÁ CONTER: </w:t>
      </w:r>
      <w:r>
        <w:rPr>
          <w:sz w:val="20"/>
          <w:szCs w:val="20"/>
        </w:rPr>
      </w:r>
      <w:r>
        <w:rPr>
          <w:sz w:val="20"/>
          <w:szCs w:val="20"/>
        </w:rPr>
      </w:r>
    </w:p>
    <w:p>
      <w:pPr>
        <w:pStyle w:val="979"/>
        <w:pBdr/>
        <w:spacing/>
        <w:ind/>
        <w:jc w:val="both"/>
        <w:rPr>
          <w:b/>
          <w:sz w:val="20"/>
          <w:szCs w:val="20"/>
        </w:rPr>
      </w:pPr>
      <w:r>
        <w:rPr>
          <w:b/>
          <w:sz w:val="20"/>
          <w:szCs w:val="20"/>
        </w:rPr>
      </w:r>
      <w:r>
        <w:rPr>
          <w:b/>
          <w:sz w:val="20"/>
          <w:szCs w:val="20"/>
        </w:rPr>
      </w:r>
    </w:p>
    <w:p>
      <w:pPr>
        <w:pStyle w:val="828"/>
        <w:pBdr/>
        <w:spacing/>
        <w:ind w:left="284"/>
        <w:jc w:val="both"/>
        <w:rPr>
          <w:rFonts w:ascii="Arial" w:hAnsi="Arial" w:cs="Arial"/>
        </w:rPr>
      </w:pPr>
      <w:r>
        <w:rPr>
          <w:rFonts w:ascii="Arial" w:hAnsi="Arial" w:cs="Arial"/>
          <w:b/>
          <w:color w:val="000000"/>
        </w:rPr>
        <w:t xml:space="preserve">6.4.1.</w:t>
      </w:r>
      <w:r>
        <w:rPr>
          <w:rFonts w:ascii="Arial" w:hAnsi="Arial" w:cs="Arial"/>
          <w:color w:val="000000"/>
        </w:rPr>
        <w:t xml:space="preserve"> O prazo de eficácia da proposta, o qual não poderá ser inferior a 120 (cento e vinte) dias corridos, a contar da data da realização da sessão pública da licitação em epígrafe; </w:t>
      </w:r>
      <w:r>
        <w:rPr>
          <w:rFonts w:ascii="Arial" w:hAnsi="Arial" w:cs="Arial"/>
        </w:rPr>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left="284"/>
        <w:jc w:val="both"/>
        <w:rPr>
          <w:rFonts w:ascii="Arial" w:hAnsi="Arial" w:cs="Arial"/>
        </w:rPr>
      </w:pPr>
      <w:r>
        <w:rPr>
          <w:rFonts w:ascii="Arial" w:hAnsi="Arial" w:cs="Arial"/>
          <w:b/>
        </w:rPr>
        <w:t xml:space="preserve">6.4.2.</w:t>
      </w:r>
      <w:r>
        <w:rPr>
          <w:rFonts w:ascii="Arial" w:hAnsi="Arial" w:cs="Arial"/>
        </w:rPr>
        <w:t xml:space="preserve"> Os preços deverão ser cotados em moe</w:t>
      </w:r>
      <w:r>
        <w:rPr>
          <w:rFonts w:ascii="Arial" w:hAnsi="Arial" w:cs="Arial"/>
        </w:rPr>
        <w:t xml:space="preserve">da corrente nacional, expressos em algarismos e por extenso, sem previsão inflacionária. Em caso de divergência entre os valores unitários e totais, serão considerados os primeiros, e entr</w:t>
      </w:r>
      <w:r>
        <w:rPr>
          <w:rFonts w:ascii="Arial" w:hAnsi="Arial" w:cs="Arial"/>
        </w:rPr>
        <w:t xml:space="preserve">e os valores expressos em algarismo e por extenso, será considerado este último, e estar inclusa, toda e qualquer despesas, tais como: fretes, encargos sociais e trabalhistas, seguros, tributos diretos e indiretos incidentes sobre o fornecimento do objeto;</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6.4.3.</w:t>
      </w:r>
      <w:r>
        <w:rPr>
          <w:rFonts w:ascii="Arial" w:hAnsi="Arial" w:cs="Arial"/>
        </w:rPr>
        <w:t xml:space="preserve"> O Pregoeiro considerará erros de somatórios e outros aspect</w:t>
      </w:r>
      <w:r>
        <w:rPr>
          <w:rFonts w:ascii="Arial" w:hAnsi="Arial" w:cs="Arial"/>
        </w:rPr>
        <w:t xml:space="preserve">os que beneficiem a Administração Pública e não impliquem nulidade do procedimento, como sendo exigências formais e consequentemente classificará a empresa;</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6.4.4. </w:t>
      </w:r>
      <w:r>
        <w:rPr>
          <w:rFonts w:ascii="Arial" w:hAnsi="Arial" w:cs="Arial"/>
        </w:rPr>
        <w:t xml:space="preserve">Deverá ser apresentada proposta que atenda todas as especificações do objeto solicitado, não poderão ser alteradas, sob pena de desclassificação;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6.4.5.</w:t>
      </w:r>
      <w:r>
        <w:rPr>
          <w:rFonts w:ascii="Arial" w:hAnsi="Arial" w:cs="Arial"/>
        </w:rPr>
        <w:t xml:space="preserve"> As propostas dos itens objeto deste Edital deverão conter a indicação de marca/fabricante, validade, garantia, quantidade, modelo (quando for o caso), sendo as informações corretas, claras, pr</w:t>
      </w:r>
      <w:r>
        <w:rPr>
          <w:rFonts w:ascii="Arial" w:hAnsi="Arial" w:cs="Arial"/>
        </w:rPr>
        <w:t xml:space="preserve">ecisas, ostensivas na língua portuguesa sobre suas características, qualidades, preço, garantia e origem, entre outros dados.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6.4.6.</w:t>
      </w:r>
      <w:r>
        <w:rPr>
          <w:rFonts w:ascii="Arial" w:hAnsi="Arial" w:cs="Arial"/>
        </w:rPr>
        <w:t xml:space="preserve"> </w:t>
      </w:r>
      <w:r>
        <w:rPr>
          <w:rFonts w:ascii="Arial" w:hAnsi="Arial" w:cs="Arial"/>
          <w:b/>
          <w:u w:val="single"/>
        </w:rPr>
        <w:t xml:space="preserve">A quantidade máxima estimada dos itens que poderão ser adquiridos pelo município, aqui denominado órgão gerenciador, é a </w:t>
      </w:r>
      <w:r>
        <w:rPr>
          <w:rFonts w:ascii="Arial" w:hAnsi="Arial" w:cs="Arial"/>
          <w:b/>
          <w:color w:val="000000"/>
          <w:u w:val="single"/>
        </w:rPr>
        <w:t xml:space="preserve">constante no </w:t>
      </w:r>
      <w:r>
        <w:rPr>
          <w:rFonts w:ascii="Arial" w:hAnsi="Arial" w:cs="Arial"/>
          <w:b/>
          <w:color w:val="000000"/>
          <w:u w:val="single"/>
        </w:rPr>
        <w:t xml:space="preserve">Termo de Referencia</w:t>
      </w:r>
      <w:r>
        <w:rPr>
          <w:rFonts w:ascii="Arial" w:hAnsi="Arial" w:cs="Arial"/>
          <w:color w:val="000000"/>
        </w:rPr>
        <w:t xml:space="preserve">,</w:t>
      </w:r>
      <w:r>
        <w:rPr>
          <w:rFonts w:ascii="Arial" w:hAnsi="Arial" w:cs="Arial"/>
        </w:rPr>
        <w:t xml:space="preserve"> tendo em vista que para este certame não haverá a possibilidade de contemplação para órgão não participante. (Art. 82, Inciso I, da Lei 14.133/2021).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6.4.7.</w:t>
      </w:r>
      <w:r>
        <w:rPr>
          <w:rFonts w:ascii="Arial" w:hAnsi="Arial" w:cs="Arial"/>
        </w:rPr>
        <w:t xml:space="preserve"> </w:t>
      </w:r>
      <w:r>
        <w:rPr>
          <w:rFonts w:ascii="Arial" w:hAnsi="Arial" w:cs="Arial"/>
        </w:rPr>
        <w:t xml:space="preserve">Em cumprimento ao disposto no art. 82, inciso II, da Lei nº 14.133/2021, bem como no art. 301, inciso VI, do Decreto Municipal nº 11.685/2023,</w:t>
      </w:r>
      <w:r>
        <w:rPr>
          <w:rFonts w:ascii="Arial" w:hAnsi="Arial" w:cs="Arial"/>
        </w:rPr>
        <w:t xml:space="preserve"> estabelece-se o quantitativo mínimo a ser cotado pelos licitantes na presente contratação, corresponderá a 10% (dez por cento) do quantitativo total estimado para cada item, conforme especificado na planilha de estimativas constante do Termo de Referência</w:t>
      </w:r>
      <w:r>
        <w:rPr>
          <w:rFonts w:ascii="Arial" w:hAnsi="Arial" w:cs="Arial"/>
        </w:rPr>
        <w:t xml:space="preserve">.</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b/>
        </w:rPr>
      </w:pPr>
      <w:r>
        <w:rPr>
          <w:rFonts w:ascii="Arial" w:hAnsi="Arial" w:cs="Arial"/>
          <w:b/>
        </w:rPr>
        <w:t xml:space="preserve">6.4.8. </w:t>
      </w:r>
      <w:r>
        <w:rPr>
          <w:rFonts w:ascii="Arial" w:hAnsi="Arial" w:cs="Arial"/>
          <w:b/>
        </w:rPr>
        <w:t xml:space="preserve">DA NÃO EXIGÊNCIA DE </w:t>
      </w:r>
      <w:r>
        <w:rPr>
          <w:rFonts w:ascii="Arial" w:hAnsi="Arial" w:cs="Arial"/>
          <w:b/>
        </w:rPr>
        <w:t xml:space="preserve">APRESENTAÇÃO DE AMOSTRAS:</w:t>
      </w: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pPr>
      <w:r>
        <w:rPr>
          <w:rFonts w:ascii="Arial" w:hAnsi="Arial" w:cs="Arial"/>
          <w:b/>
          <w:bCs/>
        </w:rPr>
        <w:t xml:space="preserve">6.4.8.1.</w:t>
      </w:r>
      <w:r>
        <w:rPr>
          <w:rFonts w:ascii="Arial" w:hAnsi="Arial" w:cs="Arial"/>
          <w:bCs/>
        </w:rPr>
        <w:t xml:space="preserve"> </w:t>
      </w:r>
      <w:r>
        <w:rPr>
          <w:rFonts w:eastAsia="SimSun"/>
        </w:rPr>
        <w:t xml:space="preserve">Não será exigida a apresentação de amostras, desde que os produtos fornecidos estejam em conformidade com as especificações técnicas e funcionais definidas na clausula </w:t>
      </w:r>
      <w:r>
        <w:rPr>
          <w:b/>
          <w:bCs/>
        </w:rPr>
        <w:t xml:space="preserve">4.2.3.1. do</w:t>
      </w:r>
      <w:r>
        <w:rPr>
          <w:rFonts w:eastAsia="SimSun"/>
          <w:b/>
          <w:bCs/>
        </w:rPr>
        <w:t xml:space="preserve"> Termo de Referência</w:t>
      </w:r>
      <w:r>
        <w:rPr>
          <w:rFonts w:eastAsia="SimSun"/>
        </w:rPr>
        <w:t xml:space="preserve">.</w:t>
      </w:r>
      <w:r>
        <w:rPr>
          <w:rFonts w:ascii="Arial" w:hAnsi="Arial" w:cs="Arial"/>
          <w:bCs/>
        </w:rPr>
        <w:t xml:space="preserve"> </w:t>
      </w:r>
      <w:r/>
    </w:p>
    <w:p>
      <w:pPr>
        <w:pStyle w:val="828"/>
        <w:pBdr/>
        <w:spacing/>
        <w:ind w:left="284"/>
        <w:jc w:val="both"/>
        <w:rPr>
          <w:rFonts w:ascii="Arial" w:hAnsi="Arial" w:cs="Arial"/>
          <w:bCs/>
        </w:rPr>
      </w:pPr>
      <w:r>
        <w:rPr>
          <w:rFonts w:ascii="Arial" w:hAnsi="Arial" w:cs="Arial"/>
          <w:bCs/>
        </w:rPr>
      </w:r>
      <w:r>
        <w:rPr>
          <w:rFonts w:ascii="Arial" w:hAnsi="Arial" w:cs="Arial"/>
          <w:bCs/>
        </w:rPr>
      </w:r>
    </w:p>
    <w:p>
      <w:pPr>
        <w:pStyle w:val="979"/>
        <w:pBdr/>
        <w:spacing/>
        <w:ind/>
        <w:jc w:val="both"/>
        <w:rPr>
          <w:sz w:val="20"/>
          <w:szCs w:val="20"/>
        </w:rPr>
      </w:pPr>
      <w:r>
        <w:rPr>
          <w:b/>
          <w:sz w:val="20"/>
          <w:szCs w:val="20"/>
        </w:rPr>
        <w:t xml:space="preserve">6.5. DA INDICAÇÃO DE MARCA PARADIGMA: </w:t>
      </w:r>
      <w:r>
        <w:rPr>
          <w:sz w:val="20"/>
          <w:szCs w:val="20"/>
        </w:rPr>
      </w:r>
      <w:r>
        <w:rPr>
          <w:sz w:val="20"/>
          <w:szCs w:val="20"/>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left="284"/>
        <w:jc w:val="both"/>
        <w:rPr>
          <w:rFonts w:ascii="Arial" w:hAnsi="Arial" w:cs="Arial"/>
          <w:color w:val="000000"/>
        </w:rPr>
      </w:pPr>
      <w:r>
        <w:rPr>
          <w:rFonts w:ascii="Arial" w:hAnsi="Arial" w:cs="Arial"/>
          <w:b/>
          <w:color w:val="000000"/>
        </w:rPr>
        <w:t xml:space="preserve">6.5.1.</w:t>
      </w:r>
      <w:r>
        <w:rPr>
          <w:rFonts w:ascii="Arial" w:hAnsi="Arial" w:cs="Arial"/>
          <w:color w:val="000000"/>
        </w:rPr>
        <w:t xml:space="preserve"> Não se aplica a indicação de marca paradigma tendo em vista a natureza do insumo objeto.</w:t>
      </w:r>
      <w:r>
        <w:rPr>
          <w:rFonts w:ascii="Arial" w:hAnsi="Arial" w:cs="Arial"/>
          <w:color w:val="000000"/>
        </w:rPr>
      </w:r>
    </w:p>
    <w:p>
      <w:pPr>
        <w:pStyle w:val="829"/>
        <w:pBdr/>
        <w:spacing w:after="0" w:before="0"/>
        <w:ind/>
        <w:rPr>
          <w:rFonts w:eastAsia="SimSun"/>
          <w:sz w:val="20"/>
          <w:szCs w:val="20"/>
          <w:lang w:val="pt-BR"/>
        </w:rPr>
      </w:pPr>
      <w:r/>
      <w:bookmarkStart w:id="8" w:name="__RefHeading___Toc190782013"/>
      <w:r>
        <w:rPr>
          <w:rFonts w:eastAsia="SimSun"/>
          <w:sz w:val="20"/>
          <w:szCs w:val="20"/>
          <w:lang w:val="pt-BR"/>
        </w:rPr>
      </w:r>
      <w:r>
        <w:rPr>
          <w:rFonts w:eastAsia="SimSun"/>
          <w:sz w:val="20"/>
          <w:szCs w:val="20"/>
          <w:lang w:val="pt-BR"/>
        </w:rPr>
      </w:r>
    </w:p>
    <w:p>
      <w:pPr>
        <w:pStyle w:val="829"/>
        <w:pBdr/>
        <w:spacing w:after="0" w:before="0"/>
        <w:ind/>
        <w:rPr>
          <w:rFonts w:eastAsia="SimSun"/>
          <w:sz w:val="20"/>
          <w:szCs w:val="20"/>
          <w:lang w:val="pt-BR"/>
        </w:rPr>
      </w:pPr>
      <w:r>
        <w:rPr>
          <w:rFonts w:eastAsia="SimSun"/>
          <w:sz w:val="20"/>
          <w:szCs w:val="20"/>
          <w:lang w:val="pt-BR"/>
        </w:rPr>
        <w:t xml:space="preserve">7. DA ANALISE INICIAL NA PROPOSTA DE PREÇOS NO MOMENTO DA SESSÃO:</w:t>
      </w:r>
      <w:bookmarkEnd w:id="8"/>
      <w:r>
        <w:rPr>
          <w:rFonts w:eastAsia="SimSun"/>
          <w:sz w:val="20"/>
          <w:szCs w:val="20"/>
          <w:lang w:val="pt-BR"/>
        </w:rPr>
        <w:t xml:space="preserve"> </w:t>
      </w:r>
      <w:r>
        <w:rPr>
          <w:rFonts w:eastAsia="SimSun"/>
          <w:sz w:val="20"/>
          <w:szCs w:val="20"/>
          <w:lang w:val="pt-BR"/>
        </w:rPr>
      </w:r>
    </w:p>
    <w:p>
      <w:pPr>
        <w:pStyle w:val="828"/>
        <w:pBdr/>
        <w:spacing/>
        <w:ind/>
        <w:jc w:val="both"/>
        <w:rPr>
          <w:rFonts w:ascii="Arial" w:hAnsi="Arial" w:eastAsia="SimSun" w:cs="Arial"/>
          <w:b/>
        </w:rPr>
      </w:pPr>
      <w:r>
        <w:rPr>
          <w:rFonts w:ascii="Arial" w:hAnsi="Arial" w:eastAsia="SimSun" w:cs="Arial"/>
          <w:b/>
        </w:rPr>
      </w:r>
      <w:r>
        <w:rPr>
          <w:rFonts w:ascii="Arial" w:hAnsi="Arial" w:eastAsia="SimSun" w:cs="Arial"/>
          <w:b/>
        </w:rPr>
      </w:r>
    </w:p>
    <w:p>
      <w:pPr>
        <w:pStyle w:val="828"/>
        <w:pBdr/>
        <w:spacing/>
        <w:ind/>
        <w:jc w:val="both"/>
        <w:rPr>
          <w:rFonts w:ascii="Arial" w:hAnsi="Arial" w:cs="Arial"/>
        </w:rPr>
      </w:pPr>
      <w:r>
        <w:rPr>
          <w:rFonts w:ascii="Arial" w:hAnsi="Arial" w:cs="Arial"/>
          <w:b/>
        </w:rPr>
        <w:t xml:space="preserve">7.1.</w:t>
      </w:r>
      <w:r>
        <w:rPr>
          <w:rFonts w:ascii="Arial" w:hAnsi="Arial" w:cs="Arial"/>
        </w:rPr>
        <w:t xml:space="preserve"> Na data e horário previsto no ato</w:t>
      </w:r>
      <w:r>
        <w:rPr>
          <w:rFonts w:ascii="Arial" w:hAnsi="Arial" w:cs="Arial"/>
        </w:rPr>
        <w:t xml:space="preserve"> c</w:t>
      </w:r>
      <w:r>
        <w:rPr>
          <w:rFonts w:ascii="Arial" w:hAnsi="Arial" w:cs="Arial"/>
        </w:rPr>
        <w:t xml:space="preserve">onvocatório terá início à sessão pública, nesse momento o sistema não identifica as empresas participantes as propostas aparecem em forma de número (participante 1, 2, e assim sucessivamente, no lote seguinte o sistema alterna o número dos participantes).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7.2.</w:t>
      </w:r>
      <w:r>
        <w:rPr>
          <w:rFonts w:ascii="Arial" w:hAnsi="Arial" w:cs="Arial"/>
        </w:rPr>
        <w:t xml:space="preserve"> O Pregoeiro após análise das propostas de preços apresentadas de forma eletrônica, </w:t>
      </w:r>
      <w:r>
        <w:rPr>
          <w:rFonts w:ascii="Arial" w:hAnsi="Arial" w:cs="Arial"/>
          <w:u w:val="single"/>
        </w:rPr>
        <w:t xml:space="preserve">desclassificará aquelas que não estiverem em consonância com as regras estabelecidas no instrumento convocatório</w:t>
      </w:r>
      <w:r>
        <w:rPr>
          <w:rFonts w:ascii="Arial" w:hAnsi="Arial" w:cs="Arial"/>
        </w:rPr>
        <w:t xml:space="preserve">, tais como:</w:t>
      </w:r>
      <w:r>
        <w:rPr>
          <w:rFonts w:ascii="Arial" w:hAnsi="Arial" w:cs="Arial"/>
          <w:color w:val="000000"/>
        </w:rPr>
        <w:t xml:space="preserve"> </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rPr>
      </w:pPr>
      <w:r>
        <w:rPr>
          <w:rFonts w:ascii="Arial" w:hAnsi="Arial" w:cs="Arial"/>
          <w:b/>
        </w:rPr>
        <w:t xml:space="preserve">7.2.1</w:t>
      </w:r>
      <w:r>
        <w:rPr>
          <w:rFonts w:ascii="Arial" w:hAnsi="Arial" w:cs="Arial"/>
        </w:rPr>
        <w:t xml:space="preserve">. Valores iguais a zero, erros e</w:t>
      </w:r>
      <w:r>
        <w:rPr>
          <w:rFonts w:ascii="Arial" w:hAnsi="Arial" w:cs="Arial"/>
        </w:rPr>
        <w:t xml:space="preserve"> desvios nos preços de forma a suscitar dúbia interpretação;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7.3.</w:t>
      </w:r>
      <w:r>
        <w:rPr>
          <w:rFonts w:ascii="Arial" w:hAnsi="Arial" w:cs="Arial"/>
        </w:rPr>
        <w:t xml:space="preserve"> A decisão sobre classificação ou desclassificação de propostas comerciais será disponibilizada no sistema eletrônico para acompanhamento em tempo real por todas as empresas licitantes.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9"/>
        <w:pBdr/>
        <w:spacing w:after="0" w:before="0"/>
        <w:ind/>
        <w:rPr>
          <w:sz w:val="20"/>
          <w:szCs w:val="20"/>
        </w:rPr>
      </w:pPr>
      <w:r/>
      <w:bookmarkStart w:id="9" w:name="__RefHeading___Toc190782014"/>
      <w:r/>
      <w:bookmarkEnd w:id="9"/>
      <w:r>
        <w:rPr>
          <w:rFonts w:eastAsia="SimSun"/>
          <w:sz w:val="20"/>
          <w:szCs w:val="20"/>
          <w:lang w:val="pt-BR"/>
        </w:rPr>
        <w:t xml:space="preserve">8. DA FORMA DE DISPUTA:</w:t>
      </w:r>
      <w:r>
        <w:rPr>
          <w:sz w:val="20"/>
          <w:szCs w:val="20"/>
        </w:rPr>
      </w:r>
      <w:r>
        <w:rPr>
          <w:sz w:val="20"/>
          <w:szCs w:val="20"/>
        </w:rPr>
      </w:r>
    </w:p>
    <w:p>
      <w:pPr>
        <w:pStyle w:val="828"/>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pPr>
        <w:pStyle w:val="828"/>
        <w:pBdr/>
        <w:spacing/>
        <w:ind/>
        <w:jc w:val="both"/>
        <w:rPr>
          <w:rFonts w:ascii="Arial" w:hAnsi="Arial" w:cs="Arial"/>
        </w:rPr>
      </w:pPr>
      <w:r>
        <w:rPr>
          <w:rFonts w:ascii="Arial" w:hAnsi="Arial" w:cs="Arial"/>
          <w:b/>
          <w:color w:val="000000"/>
        </w:rPr>
        <w:t xml:space="preserve">8.1.</w:t>
      </w:r>
      <w:r>
        <w:rPr>
          <w:rFonts w:ascii="Arial" w:hAnsi="Arial" w:cs="Arial"/>
          <w:color w:val="000000"/>
        </w:rPr>
        <w:t xml:space="preserve"> </w:t>
      </w:r>
      <w:r>
        <w:rPr>
          <w:rFonts w:ascii="Arial" w:hAnsi="Arial" w:eastAsia="SimSun" w:cs="Arial"/>
          <w:color w:val="000000"/>
        </w:rPr>
        <w:t xml:space="preserve">Será adotado para o envio de lances no pregão eletrônico o </w:t>
      </w:r>
      <w:r>
        <w:rPr>
          <w:rFonts w:ascii="Arial" w:hAnsi="Arial" w:eastAsia="SimSun" w:cs="Arial"/>
          <w:b/>
          <w:color w:val="000000"/>
        </w:rPr>
        <w:t xml:space="preserve">MODO DE DISPUTA ABERTO</w:t>
      </w:r>
      <w:r>
        <w:rPr>
          <w:rFonts w:ascii="Arial" w:hAnsi="Arial" w:eastAsia="SimSun" w:cs="Arial"/>
          <w:color w:val="000000"/>
        </w:rPr>
        <w:t xml:space="preserve"> </w:t>
      </w:r>
      <w:r>
        <w:rPr>
          <w:rFonts w:ascii="Arial" w:hAnsi="Arial" w:eastAsia="SimSun" w:cs="Arial"/>
          <w:color w:val="000000"/>
        </w:rPr>
        <w:t xml:space="preserve">onde os licitantes apresentarão lances públicos e sucessivos, com prorrogações, conforme o critério de julgamento adotado no edital.</w:t>
      </w:r>
      <w:r>
        <w:rPr>
          <w:rFonts w:ascii="Arial" w:hAnsi="Arial" w:cs="Arial"/>
        </w:rPr>
      </w:r>
      <w:r>
        <w:rPr>
          <w:rFonts w:ascii="Arial" w:hAnsi="Arial" w:cs="Arial"/>
        </w:rPr>
      </w:r>
    </w:p>
    <w:p>
      <w:pPr>
        <w:pStyle w:val="828"/>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pPr>
        <w:pStyle w:val="828"/>
        <w:pBdr/>
        <w:spacing/>
        <w:ind/>
        <w:jc w:val="both"/>
        <w:rPr>
          <w:rFonts w:ascii="Arial" w:hAnsi="Arial" w:cs="Arial"/>
        </w:rPr>
      </w:pPr>
      <w:r>
        <w:rPr>
          <w:rFonts w:ascii="Arial" w:hAnsi="Arial" w:cs="Arial"/>
          <w:b/>
          <w:color w:val="000000"/>
        </w:rPr>
        <w:t xml:space="preserve">8.</w:t>
      </w:r>
      <w:r>
        <w:rPr>
          <w:rFonts w:ascii="Arial" w:hAnsi="Arial" w:eastAsia="SimSun" w:cs="Arial"/>
          <w:b/>
          <w:bCs/>
          <w:color w:val="000000"/>
        </w:rPr>
        <w:t xml:space="preserve">2. </w:t>
      </w:r>
      <w:r>
        <w:rPr>
          <w:rFonts w:ascii="Arial" w:hAnsi="Arial" w:cs="Arial"/>
          <w:color w:val="000000"/>
        </w:rPr>
        <w:t xml:space="preserve">A etap</w:t>
      </w:r>
      <w:r>
        <w:rPr>
          <w:rFonts w:ascii="Arial" w:hAnsi="Arial" w:cs="Arial"/>
          <w:color w:val="000000"/>
        </w:rPr>
        <w:t xml:space="preserve">a de lances da sessão pública terá duração de dez minutos e, após isso, será prorrogada automaticamente pelo sistema quando houver lance ofertado nos últimos dois minutos do período de duração da sessão pública.</w:t>
      </w:r>
      <w:r>
        <w:rPr>
          <w:rFonts w:ascii="Arial" w:hAnsi="Arial" w:cs="Arial"/>
        </w:rPr>
      </w:r>
      <w:r>
        <w:rPr>
          <w:rFonts w:ascii="Arial" w:hAnsi="Arial" w:cs="Arial"/>
        </w:rPr>
      </w:r>
    </w:p>
    <w:p>
      <w:pPr>
        <w:pStyle w:val="828"/>
        <w:pBdr/>
        <w:spacing/>
        <w:ind w:left="284"/>
        <w:jc w:val="both"/>
        <w:rPr>
          <w:rFonts w:ascii="Arial" w:hAnsi="Arial" w:eastAsia="SimSun" w:cs="Arial"/>
          <w:color w:val="000000"/>
        </w:rPr>
      </w:pPr>
      <w:r>
        <w:rPr>
          <w:rFonts w:ascii="Arial" w:hAnsi="Arial" w:eastAsia="SimSun" w:cs="Arial"/>
          <w:color w:val="000000"/>
        </w:rPr>
      </w:r>
      <w:r>
        <w:rPr>
          <w:rFonts w:ascii="Arial" w:hAnsi="Arial" w:eastAsia="SimSun" w:cs="Arial"/>
          <w:color w:val="000000"/>
        </w:rPr>
      </w:r>
    </w:p>
    <w:p>
      <w:pPr>
        <w:pStyle w:val="828"/>
        <w:pBdr/>
        <w:spacing/>
        <w:ind/>
        <w:jc w:val="both"/>
        <w:rPr>
          <w:rFonts w:ascii="Arial" w:hAnsi="Arial" w:cs="Arial"/>
        </w:rPr>
      </w:pPr>
      <w:r>
        <w:rPr>
          <w:rFonts w:ascii="Arial" w:hAnsi="Arial" w:eastAsia="SimSun" w:cs="Arial"/>
          <w:b/>
          <w:color w:val="000000"/>
        </w:rPr>
        <w:t xml:space="preserve">8.3.</w:t>
      </w:r>
      <w:r>
        <w:rPr>
          <w:rFonts w:ascii="Arial" w:hAnsi="Arial" w:eastAsia="SimSun"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r>
        <w:rPr>
          <w:rFonts w:ascii="Arial" w:hAnsi="Arial" w:cs="Arial"/>
        </w:rPr>
      </w:r>
      <w:r>
        <w:rPr>
          <w:rFonts w:ascii="Arial" w:hAnsi="Arial" w:cs="Arial"/>
        </w:rPr>
      </w:r>
    </w:p>
    <w:p>
      <w:pPr>
        <w:pStyle w:val="828"/>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pPr>
        <w:pStyle w:val="828"/>
        <w:pBdr/>
        <w:spacing/>
        <w:ind/>
        <w:jc w:val="both"/>
        <w:rPr>
          <w:rFonts w:ascii="Arial" w:hAnsi="Arial" w:cs="Arial"/>
        </w:rPr>
      </w:pPr>
      <w:r>
        <w:rPr>
          <w:rFonts w:ascii="Arial" w:hAnsi="Arial" w:eastAsia="SimSun" w:cs="Arial"/>
          <w:b/>
          <w:color w:val="000000"/>
        </w:rPr>
        <w:t xml:space="preserve">8.4.</w:t>
      </w:r>
      <w:r>
        <w:rPr>
          <w:rFonts w:ascii="Arial" w:hAnsi="Arial" w:eastAsia="SimSun" w:cs="Arial"/>
          <w:color w:val="000000"/>
        </w:rPr>
        <w:t xml:space="preserve"> </w:t>
      </w:r>
      <w:r>
        <w:rPr>
          <w:rFonts w:ascii="Arial" w:hAnsi="Arial" w:cs="Arial"/>
          <w:color w:val="000000"/>
        </w:rPr>
        <w:t xml:space="preserve">Não havendo novos lances na forma estabelecida nos itens </w:t>
      </w:r>
      <w:r>
        <w:rPr>
          <w:rFonts w:ascii="Arial" w:hAnsi="Arial" w:eastAsia="SimSun" w:cs="Arial"/>
          <w:b/>
          <w:color w:val="000000"/>
        </w:rPr>
        <w:t xml:space="preserve">8.2</w:t>
      </w:r>
      <w:r>
        <w:rPr>
          <w:rFonts w:ascii="Arial" w:hAnsi="Arial" w:eastAsia="SimSun" w:cs="Arial"/>
          <w:color w:val="000000"/>
        </w:rPr>
        <w:t xml:space="preserve"> e </w:t>
      </w:r>
      <w:r>
        <w:rPr>
          <w:rFonts w:ascii="Arial" w:hAnsi="Arial" w:eastAsia="SimSun" w:cs="Arial"/>
          <w:b/>
          <w:color w:val="000000"/>
        </w:rPr>
        <w:t xml:space="preserve">8.3</w:t>
      </w:r>
      <w:r>
        <w:rPr>
          <w:rFonts w:ascii="Arial" w:hAnsi="Arial" w:eastAsia="SimSun" w:cs="Arial"/>
          <w:color w:val="000000"/>
        </w:rPr>
        <w:t xml:space="preserve">,</w:t>
      </w:r>
      <w:r>
        <w:rPr>
          <w:rFonts w:ascii="Arial" w:hAnsi="Arial" w:cs="Arial"/>
          <w:color w:val="000000"/>
        </w:rPr>
        <w:t xml:space="preserve"> a </w:t>
      </w:r>
      <w:r>
        <w:rPr>
          <w:rFonts w:ascii="Arial" w:hAnsi="Arial" w:cs="Arial"/>
          <w:color w:val="000000"/>
        </w:rPr>
        <w:t xml:space="preserve">sessão pública encerrar-se-á automaticamente, e o sistema ordenará e divulgará os lances conforme a ordem final de classificação.</w:t>
      </w:r>
      <w:r>
        <w:rPr>
          <w:rFonts w:ascii="Arial" w:hAnsi="Arial" w:cs="Arial"/>
        </w:rPr>
      </w:r>
      <w:r>
        <w:rPr>
          <w:rFonts w:ascii="Arial" w:hAnsi="Arial" w:cs="Arial"/>
        </w:rPr>
      </w:r>
    </w:p>
    <w:p>
      <w:pPr>
        <w:pStyle w:val="828"/>
        <w:pBdr/>
        <w:spacing/>
        <w:ind/>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pPr>
        <w:pStyle w:val="829"/>
        <w:pBdr/>
        <w:spacing w:after="0" w:before="0"/>
        <w:ind/>
        <w:rPr>
          <w:sz w:val="20"/>
          <w:szCs w:val="20"/>
        </w:rPr>
      </w:pPr>
      <w:r/>
      <w:bookmarkStart w:id="10" w:name="__RefHeading___Toc190782015"/>
      <w:r>
        <w:rPr>
          <w:rFonts w:eastAsia="SimSun"/>
          <w:sz w:val="20"/>
          <w:szCs w:val="20"/>
          <w:lang w:val="pt-BR"/>
        </w:rPr>
        <w:t xml:space="preserve">9. DA FASE DE LANCES:</w:t>
      </w:r>
      <w:bookmarkEnd w:id="10"/>
      <w:r>
        <w:rPr>
          <w:rFonts w:eastAsia="SimSun"/>
          <w:sz w:val="20"/>
          <w:szCs w:val="20"/>
          <w:lang w:val="pt-BR"/>
        </w:rPr>
        <w:t xml:space="preserve"> </w:t>
      </w:r>
      <w:r>
        <w:rPr>
          <w:sz w:val="20"/>
          <w:szCs w:val="20"/>
        </w:rPr>
      </w:r>
      <w:r>
        <w:rPr>
          <w:sz w:val="20"/>
          <w:szCs w:val="20"/>
        </w:rPr>
      </w:r>
    </w:p>
    <w:p>
      <w:pPr>
        <w:pStyle w:val="828"/>
        <w:pBdr/>
        <w:spacing/>
        <w:ind/>
        <w:jc w:val="both"/>
        <w:rPr>
          <w:rFonts w:ascii="Arial" w:hAnsi="Arial" w:eastAsia="SimSun" w:cs="Arial"/>
          <w:b/>
        </w:rPr>
      </w:pPr>
      <w:r>
        <w:rPr>
          <w:rFonts w:ascii="Arial" w:hAnsi="Arial" w:eastAsia="SimSun" w:cs="Arial"/>
          <w:b/>
        </w:rPr>
      </w:r>
      <w:r>
        <w:rPr>
          <w:rFonts w:ascii="Arial" w:hAnsi="Arial" w:eastAsia="SimSun" w:cs="Arial"/>
          <w:b/>
        </w:rPr>
      </w:r>
    </w:p>
    <w:p>
      <w:pPr>
        <w:pStyle w:val="828"/>
        <w:pBdr/>
        <w:spacing/>
        <w:ind/>
        <w:jc w:val="both"/>
        <w:rPr>
          <w:rFonts w:ascii="Arial" w:hAnsi="Arial" w:cs="Arial"/>
        </w:rPr>
      </w:pPr>
      <w:r>
        <w:rPr>
          <w:rFonts w:ascii="Arial" w:hAnsi="Arial" w:cs="Arial"/>
          <w:b/>
        </w:rPr>
        <w:t xml:space="preserve">9.1.</w:t>
      </w:r>
      <w:r>
        <w:rPr>
          <w:rFonts w:ascii="Arial" w:hAnsi="Arial" w:cs="Arial"/>
        </w:rPr>
        <w:t xml:space="preserve"> Após a classificação das propostas, iniciar-se-á a fase de lances, na qual os autores das propostas classificadas pelo Pregoeiro poderão </w:t>
      </w:r>
      <w:r>
        <w:rPr>
          <w:rFonts w:ascii="Arial" w:hAnsi="Arial" w:cs="Arial"/>
          <w:b/>
        </w:rPr>
        <w:t xml:space="preserve">oferecer lances</w:t>
      </w:r>
      <w:r>
        <w:rPr>
          <w:rFonts w:ascii="Arial" w:hAnsi="Arial" w:cs="Arial"/>
        </w:rPr>
        <w:t xml:space="preserve">, obrigatoriamente por meio do sistema eletrônico, sem restrições de quantidade de lances ou de qualquer ordem classificatória ou cronológica específica, mas sempre inferior ao último lance ofertado. </w:t>
      </w:r>
      <w:r>
        <w:rPr>
          <w:rFonts w:ascii="Arial" w:hAnsi="Arial" w:cs="Arial"/>
        </w:rPr>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9.2.</w:t>
      </w:r>
      <w:r>
        <w:rPr>
          <w:rFonts w:ascii="Arial" w:hAnsi="Arial" w:cs="Arial"/>
        </w:rPr>
        <w:t xml:space="preserve"> </w:t>
      </w:r>
      <w:r>
        <w:rPr>
          <w:rFonts w:ascii="Arial" w:hAnsi="Arial" w:cs="Arial"/>
          <w:color w:val="000000"/>
        </w:rPr>
        <w:t xml:space="preserve">Caberá a licitante acompanha</w:t>
      </w:r>
      <w:r>
        <w:rPr>
          <w:rFonts w:ascii="Arial" w:hAnsi="Arial" w:cs="Arial"/>
          <w:color w:val="000000"/>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rPr>
          <w:rFonts w:ascii="Arial" w:hAnsi="Arial" w:cs="Arial"/>
        </w:rPr>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rPr>
        <w:t xml:space="preserve">9.3.</w:t>
      </w:r>
      <w:r>
        <w:rPr>
          <w:rFonts w:ascii="Arial" w:hAnsi="Arial" w:cs="Arial"/>
        </w:rPr>
        <w:t xml:space="preserve"> No caso de desconexão do sistema com o Pregoeiro no decorrer da etapa competitiva do pregão, o sistema eletrônico poderá permanecer acessível aos licitantes para a recepção dos lances, os quais continuarão sendo re</w:t>
      </w:r>
      <w:r>
        <w:rPr>
          <w:rFonts w:ascii="Arial" w:hAnsi="Arial" w:cs="Arial"/>
        </w:rPr>
        <w:t xml:space="preserve">gistrados, retornando a conexão o Pregoeiro dará continuidade ao certame, sem prejuízo dos atos realizados. </w:t>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color w:val="000000"/>
        </w:rPr>
        <w:t xml:space="preserve">9.4.</w:t>
      </w:r>
      <w:r>
        <w:rPr>
          <w:rFonts w:ascii="Arial" w:hAnsi="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r>
        <w:rPr>
          <w:rFonts w:ascii="Arial" w:hAnsi="Arial" w:cs="Arial"/>
        </w:rPr>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rPr>
        <w:t xml:space="preserve">9.5.</w:t>
      </w:r>
      <w:r>
        <w:rPr>
          <w:rFonts w:ascii="Arial" w:hAnsi="Arial" w:cs="Arial"/>
        </w:rPr>
        <w:t xml:space="preserve"> Durante o transcurso da sessão de lances, os participantes serão informados em tempo real, do valor do menor lance registrado.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color w:val="000000"/>
        </w:rPr>
        <w:t xml:space="preserve">9.5.1.</w:t>
      </w:r>
      <w:r>
        <w:rPr>
          <w:rFonts w:ascii="Arial" w:hAnsi="Arial" w:cs="Arial"/>
          <w:color w:val="000000"/>
        </w:rPr>
        <w:t xml:space="preserve"> N</w:t>
      </w:r>
      <w:r>
        <w:rPr>
          <w:rFonts w:ascii="Arial" w:hAnsi="Arial" w:cs="Arial"/>
        </w:rPr>
        <w:t xml:space="preserve">e</w:t>
      </w:r>
      <w:r>
        <w:rPr>
          <w:rFonts w:ascii="Arial" w:hAnsi="Arial" w:cs="Arial"/>
        </w:rPr>
        <w:t xml:space="preserve">sse momento o sistema ainda não identifica as empresas participantes as propostas continuam aparecendo em forma de número (participante 1, 2, 3 e assim sucessivamente, no lote seguinte o sistema alterna o número dos participantes).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eastAsia="SimSun" w:cs="Arial"/>
          <w:b/>
          <w:color w:val="000000"/>
        </w:rPr>
        <w:t xml:space="preserve">9.6.</w:t>
      </w:r>
      <w:r>
        <w:rPr>
          <w:rFonts w:ascii="Arial" w:hAnsi="Arial" w:eastAsia="SimSun" w:cs="Arial"/>
          <w:color w:val="000000"/>
        </w:rPr>
        <w:t xml:space="preserve"> O licitante somen</w:t>
      </w:r>
      <w:r>
        <w:rPr>
          <w:rFonts w:ascii="Arial" w:hAnsi="Arial" w:eastAsia="SimSun" w:cs="Arial"/>
          <w:color w:val="000000"/>
        </w:rPr>
        <w:t xml:space="preserve">te poderá oferecer valor inferior ao último lance por ele ofertado e registrado pelo sistema, observado, quando houver, o intervalo mínimo de diferença de valores ou de percentuais entre os lances, que incidirá tanto em relação aos lances intermediários qu</w:t>
      </w:r>
      <w:r>
        <w:rPr>
          <w:rFonts w:ascii="Arial" w:hAnsi="Arial" w:eastAsia="SimSun" w:cs="Arial"/>
          <w:color w:val="000000"/>
        </w:rPr>
        <w:t xml:space="preserve">anto em relação ao lance que cobrir a melhor oferta.</w:t>
      </w:r>
      <w:r>
        <w:rPr>
          <w:rFonts w:ascii="Arial" w:hAnsi="Arial" w:cs="Arial"/>
        </w:rPr>
      </w:r>
      <w:r>
        <w:rPr>
          <w:rFonts w:ascii="Arial" w:hAnsi="Arial" w:cs="Arial"/>
        </w:rPr>
      </w:r>
    </w:p>
    <w:p>
      <w:pPr>
        <w:pStyle w:val="828"/>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pPr>
        <w:pStyle w:val="828"/>
        <w:pBdr/>
        <w:spacing/>
        <w:ind/>
        <w:jc w:val="both"/>
        <w:rPr>
          <w:rFonts w:ascii="Arial" w:hAnsi="Arial" w:cs="Arial"/>
        </w:rPr>
      </w:pPr>
      <w:r>
        <w:rPr>
          <w:rFonts w:ascii="Arial" w:hAnsi="Arial" w:cs="Arial"/>
          <w:b/>
        </w:rPr>
        <w:t xml:space="preserve">9.7.</w:t>
      </w:r>
      <w:r>
        <w:rPr>
          <w:rFonts w:ascii="Arial" w:hAnsi="Arial" w:cs="Arial"/>
        </w:rPr>
        <w:t xml:space="preserve"> Quando houver um único licitante ou uma única proposta válida, caberá ao Pregoeiro verificar a aceitabilidade do valor ofertado com base no valor de referência levantado pelas secretarias solicitantes.</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9.8.</w:t>
      </w:r>
      <w:r>
        <w:rPr>
          <w:rFonts w:ascii="Arial" w:hAnsi="Arial" w:cs="Arial"/>
        </w:rPr>
        <w:t xml:space="preserve"> Na hipótese de haver lances ou propostas iguais prevalecerão como de menor valor o lance que tiver sido primeiramente registrado.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9.9.</w:t>
      </w:r>
      <w:r>
        <w:rPr>
          <w:rFonts w:ascii="Arial" w:hAnsi="Arial" w:cs="Arial"/>
        </w:rPr>
        <w:t xml:space="preserve"> Nesse momento após o encerramento da etapa de lances do item ou lote conforme o caso, o sistema informará a </w:t>
      </w:r>
      <w:r>
        <w:rPr>
          <w:rFonts w:ascii="Arial" w:hAnsi="Arial" w:cs="Arial"/>
        </w:rPr>
        <w:t xml:space="preserve">propos</w:t>
      </w:r>
      <w:r>
        <w:rPr>
          <w:rFonts w:ascii="Arial" w:hAnsi="Arial" w:cs="Arial"/>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9.10. </w:t>
      </w:r>
      <w:r>
        <w:rPr>
          <w:rFonts w:ascii="Arial" w:hAnsi="Arial" w:cs="Arial"/>
        </w:rPr>
        <w:t xml:space="preserve">Após a disputa final, no caso de empate entre duas ou mais propostas, hipótese em que os licitantes empatados poderão apresentar nova proposta em ato contínuo à classificação, nesse caso, os critérios de desempate são os previstos no art. 60 </w:t>
      </w:r>
      <w:r>
        <w:rPr>
          <w:rFonts w:ascii="Arial" w:hAnsi="Arial" w:cs="Arial"/>
        </w:rPr>
        <w:t xml:space="preserve">da Lei 14.133/21.</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rPr>
        <w:t xml:space="preserve">9.10.1.</w:t>
      </w:r>
      <w:r>
        <w:rPr>
          <w:rFonts w:ascii="Arial" w:hAnsi="Arial" w:cs="Arial"/>
        </w:rPr>
        <w:t xml:space="preserve"> Só poderá haver empate entre propostas iguais (não seguidas de lances), ou entre lances finais da fase fechada do modo de disputa aberto e fechado.</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9.10.2.</w:t>
      </w:r>
      <w:r>
        <w:rPr>
          <w:rFonts w:ascii="Arial" w:hAnsi="Arial" w:cs="Arial"/>
        </w:rPr>
        <w:t xml:space="preserve"> Havendo eventual empate entre propostas ou lances, o critério de desempate será aquele previsto no art. 60 da Lei nº 14.133, de 2021.</w:t>
      </w:r>
      <w:r>
        <w:rPr>
          <w:rFonts w:ascii="Arial" w:hAnsi="Arial" w:cs="Arial"/>
        </w:rPr>
      </w:r>
    </w:p>
    <w:p>
      <w:pPr>
        <w:pStyle w:val="828"/>
        <w:pBdr/>
        <w:spacing/>
        <w:ind w:left="284"/>
        <w:jc w:val="both"/>
        <w:rPr>
          <w:rFonts w:ascii="Arial" w:hAnsi="Arial" w:cs="Arial"/>
          <w:b/>
          <w:bCs/>
        </w:rPr>
      </w:pPr>
      <w:r>
        <w:rPr>
          <w:rFonts w:ascii="Arial" w:hAnsi="Arial" w:cs="Arial"/>
          <w:b/>
          <w:bCs/>
        </w:rPr>
      </w:r>
      <w:r>
        <w:rPr>
          <w:rFonts w:ascii="Arial" w:hAnsi="Arial" w:cs="Arial"/>
          <w:b/>
          <w:bCs/>
        </w:rPr>
      </w:r>
    </w:p>
    <w:p>
      <w:pPr>
        <w:pStyle w:val="828"/>
        <w:pBdr/>
        <w:spacing/>
        <w:ind w:left="284"/>
        <w:jc w:val="both"/>
        <w:rPr>
          <w:rFonts w:ascii="Arial" w:hAnsi="Arial" w:cs="Arial"/>
        </w:rPr>
      </w:pPr>
      <w:r>
        <w:rPr>
          <w:rFonts w:ascii="Arial" w:hAnsi="Arial" w:cs="Arial"/>
          <w:b/>
          <w:bCs/>
        </w:rPr>
        <w:t xml:space="preserve">9.10.3. </w:t>
      </w:r>
      <w:r>
        <w:rPr>
          <w:rFonts w:ascii="Arial" w:hAnsi="Arial" w:cs="Arial"/>
        </w:rPr>
        <w:t xml:space="preserve">As regras previstas no (item 9.10) acima mencionado não prejudicarão a aplicação do disposto no art. 44 da Lei Complementar nº 123, de 14 de dezembro de 2006. (Conforme art. 60 da Lei 1</w:t>
      </w:r>
      <w:r>
        <w:rPr>
          <w:rFonts w:ascii="Arial" w:hAnsi="Arial" w:cs="Arial"/>
        </w:rPr>
        <w:t xml:space="preserve">4.133/21, </w:t>
      </w:r>
      <w:r>
        <w:rPr>
          <w:rFonts w:ascii="Arial" w:hAnsi="Arial" w:cs="Arial"/>
          <w:bCs/>
        </w:rPr>
        <w:t xml:space="preserve">§ 2º).</w:t>
      </w:r>
      <w:r>
        <w:rPr>
          <w:rFonts w:ascii="Arial" w:hAnsi="Arial" w:cs="Arial"/>
        </w:rPr>
        <w:t xml:space="preserve">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9.11.</w:t>
      </w:r>
      <w:r>
        <w:rPr>
          <w:rFonts w:ascii="Arial" w:hAnsi="Arial" w:cs="Arial"/>
        </w:rPr>
        <w:t xml:space="preserve"> Encerrada a etapa de envio</w:t>
      </w:r>
      <w:r>
        <w:rPr>
          <w:rFonts w:ascii="Arial" w:hAnsi="Arial" w:cs="Arial"/>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9.12.</w:t>
      </w:r>
      <w:r>
        <w:rPr>
          <w:rFonts w:ascii="Arial" w:hAnsi="Arial" w:cs="Arial"/>
        </w:rPr>
        <w:t xml:space="preserve"> A negociação poderá ser feita com os demais licitantes, segundo a ordem de classificação inicialmente estabelecida, quando o primeiro colocado, mesmo após a negociação, for desclassificado em razão</w:t>
      </w:r>
      <w:r>
        <w:rPr>
          <w:rFonts w:ascii="Arial" w:hAnsi="Arial" w:cs="Arial"/>
        </w:rPr>
        <w:t xml:space="preserve"> de sua proposta permanecer acima do preço máximo definido pela Administração.</w:t>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color w:val="000000"/>
        </w:rPr>
        <w:t xml:space="preserve">9.13.</w:t>
      </w:r>
      <w:r>
        <w:rPr>
          <w:rFonts w:ascii="Arial" w:hAnsi="Arial" w:cs="Arial"/>
          <w:color w:val="000000"/>
        </w:rPr>
        <w:t xml:space="preserve"> O pregoeiro solicitará ao licitante melhor classificad</w:t>
      </w:r>
      <w:r>
        <w:rPr>
          <w:rFonts w:ascii="Arial" w:hAnsi="Arial" w:cs="Arial"/>
          <w:color w:val="000000"/>
        </w:rPr>
        <w:t xml:space="preserve">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11" w:name="_Hlk117016948"/>
      <w:r>
        <w:rPr>
          <w:rFonts w:ascii="Arial" w:hAnsi="Arial" w:cs="Arial"/>
        </w:rPr>
      </w:r>
      <w:r>
        <w:rPr>
          <w:rFonts w:ascii="Arial" w:hAnsi="Arial" w:cs="Arial"/>
        </w:rPr>
      </w:r>
    </w:p>
    <w:p>
      <w:pPr>
        <w:pStyle w:val="828"/>
        <w:pBdr/>
        <w:spacing/>
        <w:ind w:left="284"/>
        <w:jc w:val="both"/>
        <w:rPr>
          <w:rFonts w:ascii="Arial" w:hAnsi="Arial" w:cs="Arial"/>
          <w:b/>
          <w:color w:val="000000"/>
        </w:rPr>
      </w:pPr>
      <w:r/>
      <w:bookmarkEnd w:id="11"/>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color w:val="000000"/>
        </w:rPr>
        <w:t xml:space="preserve">9.14.</w:t>
      </w:r>
      <w:r>
        <w:rPr>
          <w:rFonts w:ascii="Arial" w:hAnsi="Arial" w:cs="Arial"/>
          <w:color w:val="000000"/>
        </w:rPr>
        <w:t xml:space="preserve"> É facultado ao pregoeiro prorrogar o prazo estabelecido, a partir de solicitação fundamentada feita no chat </w:t>
      </w:r>
      <w:r>
        <w:rPr>
          <w:rFonts w:ascii="Arial" w:hAnsi="Arial" w:cs="Arial"/>
          <w:color w:val="000000"/>
        </w:rPr>
        <w:t xml:space="preserve">pelo licitante, antes de findo o prazo.</w:t>
      </w:r>
      <w:r>
        <w:rPr>
          <w:rFonts w:ascii="Arial" w:hAnsi="Arial" w:cs="Arial"/>
        </w:rPr>
      </w:r>
      <w:r>
        <w:rPr>
          <w:rFonts w:ascii="Arial" w:hAnsi="Arial" w:cs="Arial"/>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9"/>
        <w:pBdr/>
        <w:spacing w:after="0" w:before="0"/>
        <w:ind/>
        <w:rPr>
          <w:sz w:val="20"/>
          <w:szCs w:val="20"/>
          <w:lang w:val="pt-BR"/>
        </w:rPr>
      </w:pPr>
      <w:r/>
      <w:bookmarkStart w:id="12" w:name="__RefHeading___Toc190782016"/>
      <w:r>
        <w:rPr>
          <w:rFonts w:eastAsia="SimSun"/>
          <w:sz w:val="20"/>
          <w:szCs w:val="20"/>
          <w:lang w:val="pt-BR"/>
        </w:rPr>
        <w:t xml:space="preserve">10. DO JULGAMENTO DA(S) PROPOSTA(S) DE PREÇOS APÓS A CLASSIFICAÇÃO FINAL:</w:t>
      </w:r>
      <w:bookmarkEnd w:id="12"/>
      <w:r>
        <w:rPr>
          <w:rFonts w:eastAsia="SimSun"/>
          <w:sz w:val="20"/>
          <w:szCs w:val="20"/>
          <w:lang w:val="pt-BR"/>
        </w:rPr>
        <w:t xml:space="preserve"> </w:t>
      </w:r>
      <w:r>
        <w:rPr>
          <w:sz w:val="20"/>
          <w:szCs w:val="20"/>
          <w:lang w:val="pt-BR"/>
        </w:rPr>
      </w:r>
      <w:r>
        <w:rPr>
          <w:sz w:val="20"/>
          <w:szCs w:val="20"/>
          <w:lang w:val="pt-BR"/>
        </w:rPr>
      </w:r>
    </w:p>
    <w:p>
      <w:pPr>
        <w:pStyle w:val="828"/>
        <w:pBdr/>
        <w:spacing/>
        <w:ind/>
        <w:jc w:val="both"/>
        <w:rPr>
          <w:rFonts w:ascii="Arial" w:hAnsi="Arial" w:eastAsia="SimSun" w:cs="Arial"/>
          <w:b/>
        </w:rPr>
      </w:pPr>
      <w:r/>
      <w:bookmarkStart w:id="13" w:name="_Ref117019424"/>
      <w:r>
        <w:rPr>
          <w:rFonts w:ascii="Arial" w:hAnsi="Arial" w:eastAsia="SimSun" w:cs="Arial"/>
          <w:b/>
        </w:rPr>
      </w:r>
      <w:r>
        <w:rPr>
          <w:rFonts w:ascii="Arial" w:hAnsi="Arial" w:eastAsia="SimSun" w:cs="Arial"/>
          <w:b/>
        </w:rPr>
      </w:r>
    </w:p>
    <w:p>
      <w:pPr>
        <w:pStyle w:val="828"/>
        <w:pBdr/>
        <w:spacing/>
        <w:ind/>
        <w:jc w:val="both"/>
        <w:rPr>
          <w:rFonts w:ascii="Arial" w:hAnsi="Arial" w:cs="Arial"/>
        </w:rPr>
      </w:pPr>
      <w:r>
        <w:rPr>
          <w:rFonts w:ascii="Arial" w:hAnsi="Arial" w:cs="Arial"/>
          <w:b/>
        </w:rPr>
        <w:t xml:space="preserve">10.1.</w:t>
      </w:r>
      <w:r>
        <w:rPr>
          <w:rFonts w:ascii="Arial" w:hAnsi="Arial" w:cs="Arial"/>
        </w:rPr>
        <w:t xml:space="preserve"> Encerrada a etapa de negociação, o pregoeiro verificará se o licitante provisoriamente classificado em primeiro lugar atende às condições de participação no certame, conforme previsto no </w:t>
      </w:r>
      <w:r>
        <w:rPr>
          <w:rFonts w:ascii="Arial" w:hAnsi="Arial" w:cs="Arial"/>
        </w:rPr>
        <w:fldChar w:fldCharType="begin"/>
      </w:r>
      <w:r>
        <w:rPr>
          <w:rFonts w:ascii="Arial" w:hAnsi="Arial" w:cs="Arial"/>
        </w:rPr>
        <w:instrText xml:space="preserve"> HYPERLINK "http://www.planalto.gov.br/ccivil_03/_ato2019-2022/2021/lei/L14133.htm" \l "art14"</w:instrText>
      </w:r>
      <w:r>
        <w:rPr>
          <w:rFonts w:ascii="Arial" w:hAnsi="Arial" w:cs="Arial"/>
        </w:rPr>
        <w:fldChar w:fldCharType="separate"/>
      </w:r>
      <w:r>
        <w:rPr>
          <w:rStyle w:val="900"/>
          <w:rFonts w:ascii="Arial" w:hAnsi="Arial" w:cs="Arial"/>
        </w:rPr>
        <w:t xml:space="preserve">art. 14 da Lei nº 14.133/2021</w:t>
      </w:r>
      <w:r>
        <w:rPr>
          <w:rFonts w:ascii="Arial" w:hAnsi="Arial" w:cs="Arial"/>
        </w:rPr>
        <w:fldChar w:fldCharType="end"/>
      </w:r>
      <w:r>
        <w:rPr>
          <w:rFonts w:ascii="Arial" w:hAnsi="Arial" w:cs="Arial"/>
        </w:rPr>
        <w:t xml:space="preserve">, legislação correlata e no item do edital, </w:t>
      </w:r>
      <w:bookmarkEnd w:id="13"/>
      <w:r>
        <w:rPr>
          <w:rFonts w:ascii="Arial" w:hAnsi="Arial" w:cs="Arial"/>
        </w:rPr>
        <w:t xml:space="preserve">especialmente quanto à existênc</w:t>
      </w:r>
      <w:r>
        <w:rPr>
          <w:rFonts w:ascii="Arial" w:hAnsi="Arial" w:cs="Arial"/>
        </w:rPr>
        <w:t xml:space="preserve">ia de sanção que impeça a participação no certame ou a futura contratação, mediante a consulta aos seguintes cadastros:</w:t>
      </w:r>
      <w:r>
        <w:rPr>
          <w:rFonts w:ascii="Arial" w:hAnsi="Arial" w:cs="Arial"/>
        </w:rPr>
      </w:r>
    </w:p>
    <w:p>
      <w:pPr>
        <w:pStyle w:val="82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p>
    <w:p>
      <w:pPr>
        <w:pStyle w:val="828"/>
        <w:pBdr/>
        <w:spacing/>
        <w:ind w:left="284"/>
        <w:jc w:val="both"/>
        <w:rPr>
          <w:rFonts w:ascii="Arial" w:hAnsi="Arial" w:cs="Arial"/>
        </w:rPr>
      </w:pPr>
      <w:r>
        <w:rPr>
          <w:rFonts w:ascii="Arial" w:hAnsi="Arial" w:cs="Arial"/>
          <w:b/>
          <w:bCs/>
          <w:color w:val="000000"/>
        </w:rPr>
        <w:t xml:space="preserve">10.1.1. </w:t>
      </w:r>
      <w:r>
        <w:rPr>
          <w:rFonts w:ascii="Arial" w:hAnsi="Arial" w:cs="Arial"/>
          <w:color w:val="000000"/>
        </w:rPr>
        <w:t xml:space="preserve">Casos não se realizem lances serão verificados a conformidade entre a proposta de menor valor e o valor estimado da contratação, podendo o Pregoeiro negociar com o licitante afim de conseguir menor preço. </w:t>
      </w:r>
      <w:r>
        <w:rPr>
          <w:rFonts w:ascii="Arial" w:hAnsi="Arial" w:cs="Arial"/>
        </w:rPr>
      </w:r>
      <w:r>
        <w:rPr>
          <w:rFonts w:ascii="Arial" w:hAnsi="Arial" w:cs="Arial"/>
        </w:rPr>
      </w:r>
    </w:p>
    <w:p>
      <w:pPr>
        <w:pStyle w:val="828"/>
        <w:pBdr/>
        <w:spacing/>
        <w:ind w:left="284"/>
        <w:jc w:val="both"/>
        <w:rPr>
          <w:rFonts w:ascii="Arial" w:hAnsi="Arial" w:cs="Arial"/>
          <w:b/>
          <w:bCs/>
          <w:color w:val="000000"/>
        </w:rPr>
      </w:pPr>
      <w:r/>
      <w:bookmarkStart w:id="14" w:name="OLE_LINK1"/>
      <w:r>
        <w:rPr>
          <w:rFonts w:ascii="Arial" w:hAnsi="Arial" w:cs="Arial"/>
          <w:b/>
          <w:bCs/>
          <w:color w:val="000000"/>
        </w:rPr>
      </w:r>
      <w:r>
        <w:rPr>
          <w:rFonts w:ascii="Arial" w:hAnsi="Arial" w:cs="Arial"/>
          <w:b/>
          <w:bCs/>
          <w:color w:val="000000"/>
        </w:rPr>
      </w:r>
    </w:p>
    <w:p>
      <w:pPr>
        <w:pStyle w:val="828"/>
        <w:pBdr/>
        <w:spacing/>
        <w:ind/>
        <w:jc w:val="both"/>
        <w:rPr>
          <w:rFonts w:ascii="Arial" w:hAnsi="Arial" w:cs="Arial"/>
        </w:rPr>
      </w:pPr>
      <w:r>
        <w:rPr>
          <w:rFonts w:ascii="Arial" w:hAnsi="Arial" w:cs="Arial"/>
          <w:b/>
          <w:bCs/>
        </w:rPr>
        <w:t xml:space="preserve">10.2. Da aceitabilidade da proposta melhor classificada, não será aceita a proposta ou melhor lance classificado cujo preço seja acima do valor estimado pela Secretaria solicit</w:t>
      </w:r>
      <w:r>
        <w:rPr>
          <w:rFonts w:ascii="Arial" w:hAnsi="Arial" w:cs="Arial"/>
          <w:b/>
          <w:bCs/>
        </w:rPr>
        <w:t xml:space="preserve">ante ou quando este for manifestamente inexequível. </w:t>
      </w:r>
      <w:r>
        <w:rPr>
          <w:rFonts w:ascii="Arial" w:hAnsi="Arial" w:cs="Arial"/>
        </w:rPr>
      </w:r>
      <w:r>
        <w:rPr>
          <w:rFonts w:ascii="Arial" w:hAnsi="Arial" w:cs="Arial"/>
        </w:rPr>
      </w:r>
    </w:p>
    <w:p>
      <w:pPr>
        <w:pStyle w:val="828"/>
        <w:pBdr/>
        <w:spacing/>
        <w:ind w:left="284"/>
        <w:jc w:val="both"/>
        <w:rPr>
          <w:rFonts w:ascii="Arial" w:hAnsi="Arial" w:cs="Arial"/>
          <w:b/>
          <w:bCs/>
        </w:rPr>
      </w:pPr>
      <w:r>
        <w:rPr>
          <w:rFonts w:ascii="Arial" w:hAnsi="Arial" w:cs="Arial"/>
          <w:b/>
          <w:bCs/>
        </w:rPr>
      </w:r>
      <w:r>
        <w:rPr>
          <w:rFonts w:ascii="Arial" w:hAnsi="Arial" w:cs="Arial"/>
          <w:b/>
          <w:bCs/>
        </w:rPr>
      </w:r>
    </w:p>
    <w:p>
      <w:pPr>
        <w:pStyle w:val="828"/>
        <w:pBdr/>
        <w:spacing/>
        <w:ind w:left="284"/>
        <w:jc w:val="both"/>
        <w:rPr>
          <w:rFonts w:ascii="Arial" w:hAnsi="Arial" w:cs="Arial"/>
        </w:rPr>
      </w:pPr>
      <w:r>
        <w:rPr>
          <w:rFonts w:ascii="Arial" w:hAnsi="Arial" w:cs="Arial"/>
          <w:b/>
          <w:bCs/>
        </w:rPr>
        <w:t xml:space="preserve">10.2.1. </w:t>
      </w:r>
      <w:r>
        <w:rPr>
          <w:rFonts w:ascii="Arial" w:hAnsi="Arial" w:cs="Arial"/>
          <w:bCs/>
        </w:rPr>
        <w:t xml:space="preserve">Considera-se inexequível a proposta de preços ou menor lance que comprovadamente, for insuficiente para a cobertura dos custos da contratação, apresente preços global ou unitários simbólicos, ir</w:t>
      </w:r>
      <w:r>
        <w:rPr>
          <w:rFonts w:ascii="Arial" w:hAnsi="Arial" w:cs="Arial"/>
          <w:bCs/>
        </w:rPr>
        <w:t xml:space="preserve">risórios ou de valor zero, incompatíveis com os preços dos insumos e salários de mercado, acrescidos dos respectivos encargos, ainda que o ato convocatório da licitação não tenha estabelecido limites mínimos, exceto quando se referirem a materiais e serviç</w:t>
      </w:r>
      <w:r>
        <w:rPr>
          <w:rFonts w:ascii="Arial" w:hAnsi="Arial" w:cs="Arial"/>
          <w:bCs/>
        </w:rPr>
        <w:t xml:space="preserve">os de instalações de propriedade do próprio licitante, para os quais ele renuncie a parcela ou à totalidade da remuneração.</w:t>
      </w:r>
      <w:r>
        <w:rPr>
          <w:rFonts w:ascii="Arial" w:hAnsi="Arial" w:cs="Arial"/>
        </w:rPr>
      </w:r>
      <w:r>
        <w:rPr>
          <w:rFonts w:ascii="Arial" w:hAnsi="Arial" w:cs="Arial"/>
        </w:rPr>
      </w:r>
    </w:p>
    <w:p>
      <w:pPr>
        <w:pStyle w:val="828"/>
        <w:pBdr/>
        <w:spacing/>
        <w:ind w:left="284"/>
        <w:jc w:val="both"/>
        <w:rPr>
          <w:rFonts w:ascii="Arial" w:hAnsi="Arial" w:cs="Arial"/>
          <w:bCs/>
        </w:rPr>
      </w:pPr>
      <w:r>
        <w:rPr>
          <w:rFonts w:ascii="Arial" w:hAnsi="Arial" w:cs="Arial"/>
          <w:bCs/>
        </w:rPr>
      </w:r>
      <w:r>
        <w:rPr>
          <w:rFonts w:ascii="Arial" w:hAnsi="Arial" w:cs="Arial"/>
          <w:bCs/>
        </w:rPr>
      </w:r>
    </w:p>
    <w:p>
      <w:pPr>
        <w:pStyle w:val="828"/>
        <w:pBdr/>
        <w:spacing/>
        <w:ind/>
        <w:jc w:val="both"/>
        <w:rPr>
          <w:rFonts w:ascii="Arial" w:hAnsi="Arial" w:cs="Arial"/>
        </w:rPr>
      </w:pPr>
      <w:r>
        <w:rPr>
          <w:rFonts w:ascii="Arial" w:hAnsi="Arial" w:cs="Arial"/>
          <w:b/>
          <w:bCs/>
          <w:color w:val="000000"/>
        </w:rPr>
        <w:t xml:space="preserve">10.3. </w:t>
      </w:r>
      <w:r>
        <w:rPr>
          <w:rFonts w:ascii="Arial" w:hAnsi="Arial" w:cs="Arial"/>
          <w:bCs/>
          <w:color w:val="000000"/>
        </w:rPr>
        <w:t xml:space="preserve">Se houver indícios de inexequibilidade da proposta de preço, ou em caso da necessidade de esclarecimentos complementares, poderão ser efetuadas diligências,</w:t>
      </w:r>
      <w:r>
        <w:rPr>
          <w:rFonts w:ascii="Arial" w:hAnsi="Arial" w:cs="Arial"/>
          <w:bCs/>
          <w:color w:val="ff0000"/>
        </w:rPr>
        <w:t xml:space="preserve"> </w:t>
      </w:r>
      <w:r>
        <w:rPr>
          <w:rFonts w:ascii="Arial" w:hAnsi="Arial" w:cs="Arial"/>
          <w:color w:val="000000"/>
        </w:rPr>
        <w:t xml:space="preserve">para aferir a exequibilidade das propostas ou exigir dos licitantes que ela seja demonstrada, conforme disposto no inciso IV do </w:t>
      </w:r>
      <w:r>
        <w:rPr>
          <w:rFonts w:ascii="Arial" w:hAnsi="Arial" w:cs="Arial"/>
          <w:b/>
          <w:bCs/>
          <w:color w:val="000000"/>
        </w:rPr>
        <w:t xml:space="preserve">caput</w:t>
      </w:r>
      <w:r>
        <w:rPr>
          <w:rFonts w:ascii="Arial" w:hAnsi="Arial" w:cs="Arial"/>
          <w:color w:val="000000"/>
        </w:rPr>
        <w:t xml:space="preserve"> do artigo 59 da Lei 14.133/2021.</w:t>
      </w:r>
      <w:r>
        <w:rPr>
          <w:rFonts w:ascii="Arial" w:hAnsi="Arial" w:cs="Arial"/>
        </w:rPr>
      </w:r>
      <w:r>
        <w:rPr>
          <w:rFonts w:ascii="Arial" w:hAnsi="Arial" w:cs="Arial"/>
        </w:rPr>
      </w:r>
    </w:p>
    <w:p>
      <w:pPr>
        <w:pStyle w:val="82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p>
    <w:p>
      <w:pPr>
        <w:pStyle w:val="828"/>
        <w:pBdr/>
        <w:spacing/>
        <w:ind/>
        <w:jc w:val="both"/>
        <w:rPr>
          <w:rFonts w:ascii="Arial" w:hAnsi="Arial" w:cs="Arial"/>
        </w:rPr>
      </w:pPr>
      <w:r>
        <w:rPr>
          <w:rFonts w:ascii="Arial" w:hAnsi="Arial" w:cs="Arial"/>
          <w:b/>
          <w:bCs/>
        </w:rPr>
        <w:t xml:space="preserve">10.4. </w:t>
      </w:r>
      <w:r>
        <w:rPr>
          <w:rFonts w:ascii="Arial" w:hAnsi="Arial" w:cs="Arial"/>
          <w:bCs/>
        </w:rPr>
        <w:t xml:space="preserve">P</w:t>
      </w:r>
      <w:r>
        <w:rPr>
          <w:rFonts w:ascii="Arial" w:hAnsi="Arial" w:cs="Arial"/>
          <w:color w:val="000000"/>
          <w:lang w:eastAsia="en-US"/>
        </w:rPr>
        <w:t xml:space="preserve">oderá convocar o licitante para enviar planilhas </w:t>
      </w:r>
      <w:r>
        <w:rPr>
          <w:rFonts w:ascii="Arial" w:hAnsi="Arial" w:cs="Arial"/>
          <w:color w:val="000000"/>
          <w:lang w:eastAsia="en-US"/>
        </w:rPr>
        <w:t xml:space="preserve">de custo readequadas com o valor final por ele ofertado, nesse sentido, todos</w:t>
      </w:r>
      <w:r>
        <w:rPr>
          <w:rFonts w:ascii="Arial" w:hAnsi="Arial" w:cs="Arial"/>
          <w:bCs/>
          <w:iCs/>
          <w:color w:val="000000"/>
        </w:rPr>
        <w:t xml:space="preserve"> os dados informados pelo licitante em sua planilha deverão refletir com fidelidade os custos especificados e a margem de lucro pretendida, </w:t>
      </w:r>
      <w:r>
        <w:rPr>
          <w:rFonts w:ascii="Arial" w:hAnsi="Arial" w:cs="Arial"/>
          <w:color w:val="000000"/>
          <w:lang w:eastAsia="en-US"/>
        </w:rPr>
        <w:t xml:space="preserve">sob pena de não aceitação da proposta.</w:t>
      </w:r>
      <w:r>
        <w:rPr>
          <w:rFonts w:ascii="Arial" w:hAnsi="Arial" w:cs="Arial"/>
        </w:rPr>
      </w:r>
      <w:r>
        <w:rPr>
          <w:rFonts w:ascii="Arial" w:hAnsi="Arial" w:cs="Arial"/>
        </w:rPr>
      </w:r>
    </w:p>
    <w:p>
      <w:pPr>
        <w:pStyle w:val="828"/>
        <w:pBdr/>
        <w:spacing/>
        <w:ind w:left="284"/>
        <w:jc w:val="both"/>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828"/>
        <w:pBdr/>
        <w:spacing/>
        <w:ind/>
        <w:jc w:val="both"/>
        <w:rPr>
          <w:rFonts w:ascii="Arial" w:hAnsi="Arial" w:cs="Arial"/>
        </w:rPr>
      </w:pPr>
      <w:r>
        <w:rPr>
          <w:rFonts w:ascii="Arial" w:hAnsi="Arial" w:cs="Arial"/>
          <w:b/>
          <w:color w:val="000000"/>
          <w:lang w:eastAsia="en-US"/>
        </w:rPr>
        <w:t xml:space="preserve">10.5.</w:t>
      </w:r>
      <w:r>
        <w:rPr>
          <w:rFonts w:ascii="Arial" w:hAnsi="Arial" w:cs="Arial"/>
          <w:color w:val="000000"/>
          <w:lang w:eastAsia="en-US"/>
        </w:rPr>
        <w:t xml:space="preserve"> O Pregoeiro auxiliado pela equipe técnica analisará a compatibilidade dos preços unitários apresentados na Planilha de Custos e Formação de Preços com aqueles descritos no termo de referência.</w:t>
      </w:r>
      <w:r>
        <w:rPr>
          <w:rFonts w:ascii="Arial" w:hAnsi="Arial" w:cs="Arial"/>
        </w:rPr>
      </w:r>
      <w:r>
        <w:rPr>
          <w:rFonts w:ascii="Arial" w:hAnsi="Arial" w:cs="Arial"/>
        </w:rPr>
      </w:r>
    </w:p>
    <w:p>
      <w:pPr>
        <w:pStyle w:val="828"/>
        <w:pBdr/>
        <w:spacing/>
        <w:ind w:left="284"/>
        <w:jc w:val="both"/>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828"/>
        <w:pBdr/>
        <w:spacing/>
        <w:ind/>
        <w:jc w:val="both"/>
        <w:rPr>
          <w:rFonts w:ascii="Arial" w:hAnsi="Arial" w:cs="Arial"/>
        </w:rPr>
      </w:pPr>
      <w:r>
        <w:rPr>
          <w:rFonts w:ascii="Arial" w:hAnsi="Arial" w:cs="Arial"/>
          <w:b/>
          <w:color w:val="000000"/>
          <w:lang w:eastAsia="en-US"/>
        </w:rPr>
        <w:t xml:space="preserve">10.6.</w:t>
      </w:r>
      <w:r>
        <w:rPr>
          <w:rFonts w:ascii="Arial" w:hAnsi="Arial" w:cs="Arial"/>
          <w:color w:val="000000"/>
          <w:lang w:eastAsia="en-US"/>
        </w:rPr>
        <w:t xml:space="preserve"> </w:t>
      </w:r>
      <w:r>
        <w:rPr>
          <w:rFonts w:ascii="Arial" w:hAnsi="Arial" w:cs="Arial"/>
          <w:b/>
          <w:color w:val="000000"/>
          <w:lang w:eastAsia="en-US"/>
        </w:rPr>
        <w:t xml:space="preserve">Se a oferta da primeira classificada</w:t>
      </w:r>
      <w:r>
        <w:rPr>
          <w:rFonts w:ascii="Arial" w:hAnsi="Arial" w:cs="Arial"/>
          <w:color w:val="000000"/>
          <w:lang w:eastAsia="en-US"/>
        </w:rPr>
        <w:t xml:space="preserve"> não for acei</w:t>
      </w:r>
      <w:r>
        <w:rPr>
          <w:rFonts w:ascii="Arial" w:hAnsi="Arial" w:cs="Arial"/>
          <w:color w:val="000000"/>
          <w:lang w:eastAsia="en-US"/>
        </w:rPr>
        <w:t xml:space="preserve">tável ou se a licitante desatender às exigências habilitatórias, será examinado a oferta subsequente, verifican</w:t>
      </w:r>
      <w:r>
        <w:rPr>
          <w:rFonts w:ascii="Arial" w:hAnsi="Arial" w:cs="Arial"/>
          <w:color w:val="000000"/>
          <w:lang w:eastAsia="en-US"/>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rPr>
          <w:rFonts w:ascii="Arial" w:hAnsi="Arial" w:cs="Arial"/>
        </w:rPr>
      </w:r>
      <w:r>
        <w:rPr>
          <w:rFonts w:ascii="Arial" w:hAnsi="Arial" w:cs="Arial"/>
        </w:rPr>
      </w:r>
    </w:p>
    <w:p>
      <w:pPr>
        <w:pStyle w:val="828"/>
        <w:pBdr/>
        <w:spacing/>
        <w:ind/>
        <w:jc w:val="both"/>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829"/>
        <w:pBdr/>
        <w:spacing w:after="0" w:before="0"/>
        <w:ind/>
        <w:rPr>
          <w:sz w:val="20"/>
          <w:szCs w:val="20"/>
          <w:lang w:val="pt-BR"/>
        </w:rPr>
      </w:pPr>
      <w:r/>
      <w:bookmarkEnd w:id="14"/>
      <w:r/>
      <w:bookmarkStart w:id="15" w:name="__RefHeading___Toc190782017"/>
      <w:r>
        <w:rPr>
          <w:rFonts w:eastAsia="SimSun"/>
          <w:sz w:val="20"/>
          <w:szCs w:val="20"/>
          <w:lang w:val="pt-BR"/>
        </w:rPr>
        <w:t xml:space="preserve">11. DO ENVIO DAS PROPOSTAS REALINHADAS APÓS CONHECIDA A EMPRESA VENCEDORA:</w:t>
      </w:r>
      <w:r>
        <w:rPr>
          <w:sz w:val="20"/>
          <w:szCs w:val="20"/>
          <w:lang w:val="pt-BR"/>
        </w:rPr>
      </w:r>
      <w:r>
        <w:rPr>
          <w:sz w:val="20"/>
          <w:szCs w:val="20"/>
          <w:lang w:val="pt-BR"/>
        </w:rPr>
      </w:r>
    </w:p>
    <w:p>
      <w:pPr>
        <w:pStyle w:val="828"/>
        <w:pBdr/>
        <w:spacing/>
        <w:ind/>
        <w:rPr>
          <w:rFonts w:ascii="Arial" w:hAnsi="Arial" w:eastAsia="SimSun" w:cs="Arial"/>
        </w:rPr>
      </w:pPr>
      <w:r>
        <w:rPr>
          <w:rFonts w:ascii="Arial" w:hAnsi="Arial" w:eastAsia="SimSun" w:cs="Arial"/>
        </w:rPr>
      </w:r>
      <w:r>
        <w:rPr>
          <w:rFonts w:ascii="Arial" w:hAnsi="Arial" w:eastAsia="SimSun" w:cs="Arial"/>
        </w:rPr>
      </w:r>
    </w:p>
    <w:p>
      <w:pPr>
        <w:pStyle w:val="828"/>
        <w:pBdr/>
        <w:spacing/>
        <w:ind/>
        <w:jc w:val="both"/>
        <w:rPr>
          <w:rFonts w:ascii="Arial" w:hAnsi="Arial" w:cs="Arial"/>
        </w:rPr>
      </w:pPr>
      <w:r>
        <w:rPr>
          <w:rFonts w:ascii="Arial" w:hAnsi="Arial" w:cs="Arial"/>
          <w:b/>
          <w:color w:val="000000"/>
        </w:rPr>
        <w:t xml:space="preserve">11.1.</w:t>
      </w:r>
      <w:r>
        <w:rPr>
          <w:rFonts w:ascii="Arial" w:hAnsi="Arial" w:cs="Arial"/>
          <w:color w:val="000000"/>
        </w:rPr>
        <w:t xml:space="preserve"> Após a realização da sessão pública a licitante vencedora da </w:t>
      </w:r>
      <w:r>
        <w:rPr>
          <w:rFonts w:ascii="Arial" w:hAnsi="Arial" w:cs="Arial"/>
          <w:color w:val="000000"/>
        </w:rPr>
        <w:t xml:space="preserve">etapa de lances e habilitada na fase de documentos no prazo máximo de </w:t>
      </w:r>
      <w:r>
        <w:rPr>
          <w:rFonts w:ascii="Arial" w:hAnsi="Arial" w:cs="Arial"/>
          <w:color w:val="000000"/>
          <w:u w:val="single"/>
        </w:rPr>
        <w:t xml:space="preserve">02 (duas) horas</w:t>
      </w:r>
      <w:r>
        <w:rPr>
          <w:rFonts w:ascii="Arial" w:hAnsi="Arial" w:cs="Arial"/>
          <w:color w:val="000000"/>
        </w:rPr>
        <w:t xml:space="preserve">, contados do encerramento da sessão, deverá cadastrar a </w:t>
      </w:r>
      <w:r>
        <w:rPr>
          <w:rFonts w:ascii="Arial" w:hAnsi="Arial" w:cs="Arial"/>
          <w:b/>
          <w:color w:val="000000"/>
        </w:rPr>
        <w:t xml:space="preserve">Proposta de Preços Realinhada na plataforma BLL, </w:t>
      </w:r>
      <w:r>
        <w:rPr>
          <w:rFonts w:ascii="Arial" w:hAnsi="Arial" w:cs="Arial"/>
          <w:color w:val="000000"/>
        </w:rPr>
        <w:t xml:space="preserve">bem como, encaminha-la </w:t>
      </w:r>
      <w:r>
        <w:rPr>
          <w:rFonts w:ascii="Arial" w:hAnsi="Arial" w:cs="Arial"/>
        </w:rPr>
        <w:t xml:space="preserve">devidamente datadas e assinadas na última folha e rubricadas nas demais pelo representante legal da empresa. (</w:t>
      </w:r>
      <w:r>
        <w:rPr>
          <w:rFonts w:ascii="Arial" w:hAnsi="Arial" w:cs="Arial"/>
          <w:b/>
        </w:rPr>
        <w:t xml:space="preserve">Endereço eletrônico e-mail: </w:t>
      </w:r>
      <w:r>
        <w:rPr>
          <w:rFonts w:ascii="Arial" w:hAnsi="Arial" w:cs="Arial"/>
        </w:rPr>
        <w:fldChar w:fldCharType="begin"/>
      </w:r>
      <w:r>
        <w:rPr>
          <w:rFonts w:ascii="Arial" w:hAnsi="Arial" w:cs="Arial"/>
        </w:rPr>
        <w:instrText xml:space="preserve"> HYPERLINK "mailto:pmrroo@hotmail.com"</w:instrText>
      </w:r>
      <w:r>
        <w:rPr>
          <w:rFonts w:ascii="Arial" w:hAnsi="Arial" w:cs="Arial"/>
        </w:rPr>
        <w:fldChar w:fldCharType="separate"/>
      </w:r>
      <w:r>
        <w:rPr>
          <w:rStyle w:val="900"/>
          <w:rFonts w:ascii="Arial" w:hAnsi="Arial" w:cs="Arial"/>
          <w:b/>
        </w:rPr>
        <w:t xml:space="preserve">pmrroo@hotmail.com</w:t>
      </w:r>
      <w:r>
        <w:rPr>
          <w:rFonts w:ascii="Arial" w:hAnsi="Arial" w:cs="Arial"/>
        </w:rPr>
        <w:fldChar w:fldCharType="end"/>
      </w:r>
      <w:r>
        <w:rPr>
          <w:rFonts w:ascii="Arial" w:hAnsi="Arial" w:cs="Arial"/>
        </w:rPr>
        <w:t xml:space="preserve">).</w:t>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left="284"/>
        <w:jc w:val="both"/>
        <w:rPr>
          <w:rFonts w:ascii="Arial" w:hAnsi="Arial" w:cs="Arial"/>
        </w:rPr>
      </w:pPr>
      <w:r>
        <w:rPr>
          <w:rFonts w:ascii="Arial" w:hAnsi="Arial" w:cs="Arial"/>
          <w:b/>
          <w:color w:val="000000"/>
        </w:rPr>
        <w:t xml:space="preserve">11.1.1.</w:t>
      </w:r>
      <w:r>
        <w:rPr>
          <w:rFonts w:ascii="Arial" w:hAnsi="Arial" w:cs="Arial"/>
          <w:color w:val="000000"/>
        </w:rPr>
        <w:t xml:space="preserve"> Caso o licitante venha a ser classificado em razão da desclassificação do(s) primeiro(s)</w:t>
      </w:r>
      <w:r>
        <w:rPr>
          <w:rFonts w:ascii="Arial" w:hAnsi="Arial" w:cs="Arial"/>
          <w:color w:val="000000"/>
        </w:rPr>
        <w:t xml:space="preserve"> colocado(s), este também terá </w:t>
      </w:r>
      <w:r>
        <w:rPr>
          <w:rFonts w:ascii="Arial" w:hAnsi="Arial" w:cs="Arial"/>
          <w:color w:val="000000"/>
          <w:u w:val="single"/>
        </w:rPr>
        <w:t xml:space="preserve">02 (duas) horas</w:t>
      </w:r>
      <w:r>
        <w:rPr>
          <w:rFonts w:ascii="Arial" w:hAnsi="Arial" w:cs="Arial"/>
          <w:color w:val="000000"/>
        </w:rPr>
        <w:t xml:space="preserve"> a partir da data da comunicação de sua classificação para efetuar a recomposição de preços. </w:t>
      </w:r>
      <w:r>
        <w:rPr>
          <w:rFonts w:ascii="Arial" w:hAnsi="Arial" w:cs="Arial"/>
        </w:rPr>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color w:val="000000"/>
        </w:rPr>
        <w:t xml:space="preserve">11.2.</w:t>
      </w:r>
      <w:r>
        <w:rPr>
          <w:rFonts w:ascii="Arial" w:hAnsi="Arial" w:cs="Arial"/>
          <w:color w:val="000000"/>
        </w:rPr>
        <w:t xml:space="preserve"> A proposta de preços realinhada deverá ser redigida com clareza em língua portuguesa, salvo quanto a expressões técnicas de uso corrente, sem alternativas, emendas, rasuras ou entrelinhas.</w:t>
      </w: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eastAsia="Arial" w:cs="Arial"/>
          <w:b/>
          <w:color w:val="000000"/>
        </w:rPr>
        <w:t xml:space="preserve"> </w:t>
      </w:r>
      <w:r>
        <w:rPr>
          <w:rFonts w:ascii="Arial" w:hAnsi="Arial" w:cs="Arial"/>
        </w:rPr>
      </w:r>
      <w:r>
        <w:rPr>
          <w:rFonts w:ascii="Arial" w:hAnsi="Arial" w:cs="Arial"/>
        </w:rPr>
      </w:r>
    </w:p>
    <w:p>
      <w:pPr>
        <w:pStyle w:val="828"/>
        <w:pBdr/>
        <w:spacing/>
        <w:ind/>
        <w:jc w:val="both"/>
        <w:rPr>
          <w:rFonts w:ascii="Arial" w:hAnsi="Arial" w:cs="Arial"/>
          <w:color w:val="000000"/>
        </w:rPr>
      </w:pPr>
      <w:r>
        <w:rPr>
          <w:rFonts w:ascii="Arial" w:hAnsi="Arial" w:cs="Arial"/>
          <w:b/>
          <w:color w:val="000000"/>
        </w:rPr>
        <w:t xml:space="preserve">11.3.</w:t>
      </w:r>
      <w:r>
        <w:rPr>
          <w:rFonts w:ascii="Arial" w:hAnsi="Arial" w:cs="Arial"/>
          <w:color w:val="000000"/>
        </w:rPr>
        <w:t xml:space="preserve"> Não serão aceitas propostas com valores unitários e totais com mais de duas casas decimais. Caso ocorra o valor deverá ser arredondado para menor.</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rPr>
      </w:pPr>
      <w:r>
        <w:rPr>
          <w:rFonts w:ascii="Arial" w:hAnsi="Arial" w:cs="Arial"/>
          <w:b/>
          <w:i/>
          <w:color w:val="000000"/>
          <w:u w:val="single"/>
        </w:rPr>
        <w:t xml:space="preserve">11.4</w:t>
      </w:r>
      <w:r>
        <w:rPr>
          <w:rFonts w:ascii="Arial" w:hAnsi="Arial" w:cs="Arial"/>
          <w:lang w:eastAsia="en-US"/>
        </w:rPr>
        <w:t xml:space="preserve">. </w:t>
      </w:r>
      <w:r>
        <w:rPr>
          <w:rFonts w:ascii="Arial" w:hAnsi="Arial" w:cs="Arial"/>
          <w:lang w:eastAsia="en-US"/>
        </w:rPr>
        <w:t xml:space="preserve">Deverá ser apr</w:t>
      </w:r>
      <w:r>
        <w:rPr>
          <w:rFonts w:ascii="Arial" w:hAnsi="Arial" w:cs="Arial"/>
          <w:lang w:eastAsia="en-US"/>
        </w:rPr>
        <w:t xml:space="preserve">esentada a discriminação do valor unitário de cada item que compõe a proposta, em conformidade com o respectivo valor de referência, vedada a apresentação de item com preço superior ao valor estimado</w:t>
      </w:r>
      <w:r>
        <w:rPr>
          <w:rFonts w:ascii="Arial" w:hAnsi="Arial" w:cs="Arial"/>
          <w:i/>
          <w:color w:val="000000"/>
          <w:u w:val="single"/>
        </w:rPr>
        <w:t xml:space="preserve"> </w:t>
      </w:r>
      <w:r>
        <w:rPr>
          <w:rFonts w:ascii="Arial" w:hAnsi="Arial" w:cs="Arial"/>
        </w:rPr>
      </w:r>
      <w:r>
        <w:rPr>
          <w:rFonts w:ascii="Arial" w:hAnsi="Arial" w:cs="Arial"/>
        </w:rPr>
      </w:r>
    </w:p>
    <w:p>
      <w:pPr>
        <w:pStyle w:val="828"/>
        <w:pBdr/>
        <w:spacing/>
        <w:ind/>
        <w:jc w:val="both"/>
        <w:rPr>
          <w:rFonts w:ascii="Arial" w:hAnsi="Arial" w:cs="Arial"/>
          <w:bCs/>
          <w:color w:val="000000"/>
        </w:rPr>
      </w:pPr>
      <w:r>
        <w:rPr>
          <w:rFonts w:ascii="Arial" w:hAnsi="Arial" w:cs="Arial"/>
          <w:bCs/>
          <w:color w:val="000000"/>
        </w:rPr>
      </w:r>
      <w:r>
        <w:rPr>
          <w:rFonts w:ascii="Arial" w:hAnsi="Arial" w:cs="Arial"/>
          <w:bCs/>
          <w:color w:val="000000"/>
        </w:rPr>
      </w:r>
    </w:p>
    <w:p>
      <w:pPr>
        <w:pStyle w:val="829"/>
        <w:pBdr/>
        <w:spacing w:after="0" w:before="0"/>
        <w:ind/>
        <w:rPr>
          <w:sz w:val="20"/>
          <w:szCs w:val="20"/>
          <w:lang w:val="pt-BR"/>
        </w:rPr>
      </w:pPr>
      <w:r/>
      <w:bookmarkEnd w:id="15"/>
      <w:r/>
      <w:bookmarkStart w:id="16" w:name="__RefHeading___Toc190782018"/>
      <w:r>
        <w:rPr>
          <w:rFonts w:eastAsia="SimSun"/>
          <w:sz w:val="20"/>
          <w:szCs w:val="20"/>
          <w:lang w:val="pt-BR"/>
        </w:rPr>
        <w:t xml:space="preserve">12. DA PARTICIPAÇÃO DE MICROEMPRESA E EMPRESA DE PEQUENO PORTE:</w:t>
      </w:r>
      <w:r>
        <w:rPr>
          <w:rFonts w:eastAsia="SimSun"/>
          <w:sz w:val="20"/>
          <w:szCs w:val="20"/>
          <w:lang w:val="pt-BR"/>
        </w:rPr>
        <w:br w:type="textWrapping" w:clear="all"/>
      </w:r>
      <w:r>
        <w:rPr>
          <w:sz w:val="20"/>
          <w:szCs w:val="20"/>
          <w:lang w:val="pt-BR"/>
        </w:rPr>
      </w:r>
      <w:r>
        <w:rPr>
          <w:sz w:val="20"/>
          <w:szCs w:val="20"/>
          <w:lang w:val="pt-BR"/>
        </w:rPr>
      </w:r>
    </w:p>
    <w:p>
      <w:pPr>
        <w:pStyle w:val="979"/>
        <w:pBdr/>
        <w:spacing/>
        <w:ind w:left="284"/>
        <w:jc w:val="both"/>
        <w:rPr>
          <w:bCs/>
          <w:sz w:val="20"/>
          <w:szCs w:val="20"/>
        </w:rPr>
      </w:pPr>
      <w:r/>
      <w:bookmarkEnd w:id="16"/>
      <w:r/>
      <w:bookmarkStart w:id="17" w:name="__RefHeading___Toc190782019"/>
      <w:r>
        <w:rPr>
          <w:b/>
          <w:bCs/>
          <w:sz w:val="20"/>
          <w:szCs w:val="20"/>
        </w:rPr>
        <w:t xml:space="preserve">12.1.</w:t>
      </w:r>
      <w:r>
        <w:rPr>
          <w:bCs/>
          <w:sz w:val="20"/>
          <w:szCs w:val="20"/>
        </w:rPr>
        <w:t xml:space="preserve"> A participação de Microempresas (ME) e Empresas de Pequeno Porte (EPP) neste certame observará o disposto na Lei Complementar nº 123, de 14 de dezembro de 2006, e suas alterações, no Decreto Municipal nº 11.685/2023 e, subsidiariamente, na</w:t>
      </w:r>
      <w:r>
        <w:rPr>
          <w:bCs/>
          <w:sz w:val="20"/>
          <w:szCs w:val="20"/>
        </w:rPr>
        <w:t xml:space="preserve"> Lei nº 14.133/2021.</w:t>
      </w:r>
      <w:r>
        <w:rPr>
          <w:bCs/>
          <w:sz w:val="20"/>
          <w:szCs w:val="20"/>
        </w:rPr>
      </w:r>
    </w:p>
    <w:p>
      <w:pPr>
        <w:pStyle w:val="979"/>
        <w:pBdr/>
        <w:spacing/>
        <w:ind w:left="284"/>
        <w:jc w:val="both"/>
        <w:rPr>
          <w:bCs/>
          <w:sz w:val="20"/>
          <w:szCs w:val="20"/>
        </w:rPr>
      </w:pPr>
      <w:r>
        <w:rPr>
          <w:bCs/>
          <w:sz w:val="20"/>
          <w:szCs w:val="20"/>
        </w:rPr>
      </w:r>
      <w:r>
        <w:rPr>
          <w:bCs/>
          <w:sz w:val="20"/>
          <w:szCs w:val="20"/>
        </w:rPr>
      </w:r>
    </w:p>
    <w:p>
      <w:pPr>
        <w:pStyle w:val="979"/>
        <w:pBdr/>
        <w:spacing/>
        <w:ind w:left="284"/>
        <w:jc w:val="both"/>
        <w:rPr>
          <w:bCs/>
          <w:sz w:val="20"/>
          <w:szCs w:val="20"/>
        </w:rPr>
      </w:pPr>
      <w:r>
        <w:rPr>
          <w:b/>
          <w:bCs/>
          <w:sz w:val="20"/>
          <w:szCs w:val="20"/>
        </w:rPr>
        <w:t xml:space="preserve">12.2.</w:t>
      </w:r>
      <w:r>
        <w:rPr>
          <w:bCs/>
          <w:sz w:val="20"/>
          <w:szCs w:val="20"/>
        </w:rPr>
        <w:t xml:space="preserve"> Para fins de fruição do tratamento diferenciado previsto na Lei Complementar nº 1</w:t>
      </w:r>
      <w:r>
        <w:rPr>
          <w:bCs/>
          <w:sz w:val="20"/>
          <w:szCs w:val="20"/>
        </w:rPr>
        <w:t xml:space="preserve">23/2006, a licitante deverá declarar sua condição de ME ou EPP no ato do credenciamento e comprovar o respectivo enquadramento no momento da habilitação, mediante apresentação de Certidão Simplificada expedida pela Junta Comercial ou documento equivalente.</w:t>
      </w:r>
      <w:r>
        <w:rPr>
          <w:bCs/>
          <w:sz w:val="20"/>
          <w:szCs w:val="20"/>
        </w:rPr>
      </w:r>
    </w:p>
    <w:p>
      <w:pPr>
        <w:pStyle w:val="979"/>
        <w:pBdr/>
        <w:spacing/>
        <w:ind w:left="284"/>
        <w:jc w:val="both"/>
        <w:rPr>
          <w:bCs/>
          <w:sz w:val="20"/>
          <w:szCs w:val="20"/>
        </w:rPr>
      </w:pPr>
      <w:r>
        <w:rPr>
          <w:bCs/>
          <w:sz w:val="20"/>
          <w:szCs w:val="20"/>
        </w:rPr>
      </w:r>
      <w:r>
        <w:rPr>
          <w:bCs/>
          <w:sz w:val="20"/>
          <w:szCs w:val="20"/>
        </w:rPr>
      </w:r>
    </w:p>
    <w:p>
      <w:pPr>
        <w:pStyle w:val="979"/>
        <w:pBdr/>
        <w:spacing/>
        <w:ind w:left="284"/>
        <w:jc w:val="both"/>
        <w:rPr>
          <w:bCs/>
          <w:sz w:val="20"/>
          <w:szCs w:val="20"/>
        </w:rPr>
      </w:pPr>
      <w:r>
        <w:rPr>
          <w:b/>
          <w:bCs/>
          <w:sz w:val="20"/>
          <w:szCs w:val="20"/>
        </w:rPr>
        <w:t xml:space="preserve">12.3.</w:t>
      </w:r>
      <w:r>
        <w:rPr>
          <w:bCs/>
          <w:sz w:val="20"/>
          <w:szCs w:val="20"/>
        </w:rPr>
        <w:t xml:space="preserve"> A ausência de comprovação do enquadramento acarretará a renúncia aos benefícios legais, permanecendo a licitante submetida às regras gerais</w:t>
      </w:r>
      <w:r>
        <w:rPr>
          <w:bCs/>
          <w:sz w:val="20"/>
          <w:szCs w:val="20"/>
        </w:rPr>
        <w:t xml:space="preserve"> do certame.</w:t>
      </w:r>
      <w:r>
        <w:rPr>
          <w:bCs/>
          <w:sz w:val="20"/>
          <w:szCs w:val="20"/>
        </w:rPr>
      </w:r>
    </w:p>
    <w:p>
      <w:pPr>
        <w:pStyle w:val="979"/>
        <w:pBdr/>
        <w:spacing/>
        <w:ind w:left="284"/>
        <w:jc w:val="both"/>
        <w:rPr>
          <w:b/>
          <w:bCs/>
          <w:sz w:val="20"/>
          <w:szCs w:val="20"/>
        </w:rPr>
      </w:pPr>
      <w:r>
        <w:rPr>
          <w:b/>
          <w:bCs/>
          <w:sz w:val="20"/>
          <w:szCs w:val="20"/>
        </w:rPr>
      </w:r>
      <w:r>
        <w:rPr>
          <w:b/>
          <w:bCs/>
          <w:sz w:val="20"/>
          <w:szCs w:val="20"/>
        </w:rPr>
      </w:r>
    </w:p>
    <w:p>
      <w:pPr>
        <w:pStyle w:val="979"/>
        <w:pBdr/>
        <w:spacing/>
        <w:ind w:left="284"/>
        <w:jc w:val="both"/>
        <w:rPr>
          <w:bCs/>
          <w:sz w:val="20"/>
          <w:szCs w:val="20"/>
        </w:rPr>
      </w:pPr>
      <w:r>
        <w:rPr>
          <w:b/>
          <w:bCs/>
          <w:sz w:val="20"/>
          <w:szCs w:val="20"/>
        </w:rPr>
        <w:t xml:space="preserve">12.4.</w:t>
      </w:r>
      <w:r>
        <w:rPr>
          <w:bCs/>
          <w:sz w:val="20"/>
          <w:szCs w:val="20"/>
        </w:rPr>
        <w:t xml:space="preserve"> Encerrada a fase de lances, será caracterizado o empate ficto quando a</w:t>
      </w:r>
      <w:r>
        <w:rPr>
          <w:bCs/>
          <w:sz w:val="20"/>
          <w:szCs w:val="20"/>
        </w:rPr>
        <w:t xml:space="preserve"> proposta apresentada por ME ou EPP for igual ou até 5% (cinco por cento) superior à proposta de menor valor apresentada por licitante não enquadrada como beneficiária da Lei Complementar nº 123/2006, nos termos dos arts. 44 e 45 do referido diploma legal.</w:t>
      </w:r>
      <w:r>
        <w:rPr>
          <w:bCs/>
          <w:sz w:val="20"/>
          <w:szCs w:val="20"/>
        </w:rPr>
      </w:r>
    </w:p>
    <w:p>
      <w:pPr>
        <w:pStyle w:val="979"/>
        <w:pBdr/>
        <w:spacing/>
        <w:ind w:left="284"/>
        <w:jc w:val="both"/>
        <w:rPr>
          <w:bCs/>
          <w:sz w:val="20"/>
          <w:szCs w:val="20"/>
        </w:rPr>
      </w:pPr>
      <w:r>
        <w:rPr>
          <w:bCs/>
          <w:sz w:val="20"/>
          <w:szCs w:val="20"/>
        </w:rPr>
      </w:r>
      <w:r>
        <w:rPr>
          <w:bCs/>
          <w:sz w:val="20"/>
          <w:szCs w:val="20"/>
        </w:rPr>
      </w:r>
    </w:p>
    <w:p>
      <w:pPr>
        <w:pStyle w:val="979"/>
        <w:pBdr/>
        <w:spacing/>
        <w:ind w:left="284"/>
        <w:jc w:val="both"/>
        <w:rPr>
          <w:bCs/>
          <w:sz w:val="20"/>
          <w:szCs w:val="20"/>
        </w:rPr>
      </w:pPr>
      <w:r>
        <w:rPr>
          <w:b/>
          <w:bCs/>
          <w:sz w:val="20"/>
          <w:szCs w:val="20"/>
        </w:rPr>
        <w:t xml:space="preserve">12.5.</w:t>
      </w:r>
      <w:r>
        <w:rPr>
          <w:bCs/>
          <w:sz w:val="20"/>
          <w:szCs w:val="20"/>
        </w:rPr>
        <w:t xml:space="preserve"> </w:t>
      </w:r>
      <w:r>
        <w:rPr>
          <w:b/>
          <w:sz w:val="20"/>
          <w:szCs w:val="20"/>
        </w:rPr>
        <w:t xml:space="preserve">A ME</w:t>
      </w:r>
      <w:r>
        <w:rPr>
          <w:bCs/>
          <w:sz w:val="20"/>
          <w:szCs w:val="20"/>
        </w:rPr>
        <w:t xml:space="preserve"> ou </w:t>
      </w:r>
      <w:r>
        <w:rPr>
          <w:b/>
          <w:sz w:val="20"/>
          <w:szCs w:val="20"/>
        </w:rPr>
        <w:t xml:space="preserve">EPP</w:t>
      </w:r>
      <w:r>
        <w:rPr>
          <w:bCs/>
          <w:sz w:val="20"/>
          <w:szCs w:val="20"/>
        </w:rPr>
        <w:t xml:space="preserve"> mais bem classificada em situação de empate ficto será convocada, por meio do sistema eletrônico, para, no prazo de 5 (cinco) minutos, apresentar </w:t>
      </w:r>
      <w:r>
        <w:rPr>
          <w:bCs/>
          <w:sz w:val="20"/>
          <w:szCs w:val="20"/>
        </w:rPr>
        <w:t xml:space="preserve">proposta de preço inferior àquela originalmente classificada em primeiro lugar, hipótese em que será declarada vencedora do item, desde que atendidas as exigências editalícias.</w:t>
      </w:r>
      <w:r>
        <w:rPr>
          <w:bCs/>
          <w:sz w:val="20"/>
          <w:szCs w:val="20"/>
        </w:rPr>
      </w:r>
    </w:p>
    <w:p>
      <w:pPr>
        <w:pStyle w:val="979"/>
        <w:pBdr/>
        <w:spacing/>
        <w:ind w:left="284"/>
        <w:jc w:val="both"/>
        <w:rPr>
          <w:bCs/>
          <w:sz w:val="20"/>
          <w:szCs w:val="20"/>
        </w:rPr>
      </w:pPr>
      <w:r>
        <w:rPr>
          <w:bCs/>
          <w:sz w:val="20"/>
          <w:szCs w:val="20"/>
        </w:rPr>
      </w:r>
      <w:r>
        <w:rPr>
          <w:bCs/>
          <w:sz w:val="20"/>
          <w:szCs w:val="20"/>
        </w:rPr>
      </w:r>
    </w:p>
    <w:p>
      <w:pPr>
        <w:pStyle w:val="979"/>
        <w:pBdr/>
        <w:spacing/>
        <w:ind w:left="284"/>
        <w:jc w:val="both"/>
        <w:rPr>
          <w:bCs/>
          <w:sz w:val="20"/>
          <w:szCs w:val="20"/>
        </w:rPr>
      </w:pPr>
      <w:r>
        <w:rPr>
          <w:b/>
          <w:bCs/>
          <w:sz w:val="20"/>
          <w:szCs w:val="20"/>
        </w:rPr>
        <w:t xml:space="preserve">12.6.</w:t>
      </w:r>
      <w:r>
        <w:rPr>
          <w:bCs/>
          <w:sz w:val="20"/>
          <w:szCs w:val="20"/>
        </w:rPr>
        <w:t xml:space="preserve"> O não exercício do direito de preferência no prazo estabelecido implicará decadência desse direito.</w:t>
      </w:r>
      <w:r>
        <w:rPr>
          <w:bCs/>
          <w:sz w:val="20"/>
          <w:szCs w:val="20"/>
        </w:rPr>
      </w:r>
    </w:p>
    <w:p>
      <w:pPr>
        <w:pStyle w:val="979"/>
        <w:pBdr/>
        <w:spacing/>
        <w:ind w:left="284"/>
        <w:jc w:val="both"/>
        <w:rPr>
          <w:bCs/>
          <w:sz w:val="20"/>
          <w:szCs w:val="20"/>
        </w:rPr>
      </w:pPr>
      <w:r>
        <w:rPr>
          <w:bCs/>
          <w:sz w:val="20"/>
          <w:szCs w:val="20"/>
        </w:rPr>
      </w:r>
      <w:r>
        <w:rPr>
          <w:bCs/>
          <w:sz w:val="20"/>
          <w:szCs w:val="20"/>
        </w:rPr>
      </w:r>
    </w:p>
    <w:p>
      <w:pPr>
        <w:pStyle w:val="979"/>
        <w:pBdr/>
        <w:spacing/>
        <w:ind w:left="284"/>
        <w:jc w:val="both"/>
        <w:rPr>
          <w:bCs/>
          <w:sz w:val="20"/>
          <w:szCs w:val="20"/>
        </w:rPr>
      </w:pPr>
      <w:r>
        <w:rPr>
          <w:b/>
          <w:bCs/>
          <w:sz w:val="20"/>
          <w:szCs w:val="20"/>
        </w:rPr>
        <w:t xml:space="preserve">12.7.</w:t>
      </w:r>
      <w:r>
        <w:rPr>
          <w:bCs/>
          <w:sz w:val="20"/>
          <w:szCs w:val="20"/>
        </w:rPr>
        <w:t xml:space="preserve"> Havendo outras ME ou EPP em situação de empate ficto, estas serão convocadas sucessivamente, na ordem de classificação, observadas as mesmas condições e prazos.</w:t>
      </w:r>
      <w:r>
        <w:rPr>
          <w:bCs/>
          <w:sz w:val="20"/>
          <w:szCs w:val="20"/>
        </w:rPr>
      </w:r>
    </w:p>
    <w:p>
      <w:pPr>
        <w:pStyle w:val="979"/>
        <w:pBdr/>
        <w:spacing/>
        <w:ind w:left="284"/>
        <w:jc w:val="both"/>
        <w:rPr>
          <w:b/>
          <w:bCs/>
          <w:sz w:val="20"/>
          <w:szCs w:val="20"/>
        </w:rPr>
      </w:pPr>
      <w:r>
        <w:rPr>
          <w:b/>
          <w:bCs/>
          <w:sz w:val="20"/>
          <w:szCs w:val="20"/>
        </w:rPr>
      </w:r>
      <w:r>
        <w:rPr>
          <w:b/>
          <w:bCs/>
          <w:sz w:val="20"/>
          <w:szCs w:val="20"/>
        </w:rPr>
      </w:r>
    </w:p>
    <w:p>
      <w:pPr>
        <w:pStyle w:val="979"/>
        <w:pBdr/>
        <w:spacing/>
        <w:ind w:left="284"/>
        <w:jc w:val="both"/>
        <w:rPr>
          <w:bCs/>
          <w:sz w:val="20"/>
          <w:szCs w:val="20"/>
        </w:rPr>
      </w:pPr>
      <w:r>
        <w:rPr>
          <w:b/>
          <w:bCs/>
          <w:sz w:val="20"/>
          <w:szCs w:val="20"/>
        </w:rPr>
        <w:t xml:space="preserve">12.8.</w:t>
      </w:r>
      <w:r>
        <w:rPr>
          <w:bCs/>
          <w:sz w:val="20"/>
          <w:szCs w:val="20"/>
        </w:rPr>
        <w:t xml:space="preserve"> Na hipótese de a ME ou EPP apresentar restrição na co</w:t>
      </w:r>
      <w:r>
        <w:rPr>
          <w:bCs/>
          <w:sz w:val="20"/>
          <w:szCs w:val="20"/>
        </w:rPr>
        <w:t xml:space="preserve">mprovação da regularidade fiscal ou trabalhista, será assegurado o prazo de </w:t>
      </w:r>
      <w:r>
        <w:rPr>
          <w:bCs/>
          <w:sz w:val="20"/>
          <w:szCs w:val="20"/>
        </w:rPr>
        <w:t xml:space="preserve">5 (cinco) dias úteis, prorrogável por igual período, a critério da Administração, para a regularização da documentação, quitação ou parcelamento do débito e emissão das certidões correspondentes, nos termos do art. 43, §1º, da Lei Complementar nº 123/2006.</w:t>
      </w:r>
      <w:r>
        <w:rPr>
          <w:bCs/>
          <w:sz w:val="20"/>
          <w:szCs w:val="20"/>
        </w:rPr>
      </w:r>
    </w:p>
    <w:p>
      <w:pPr>
        <w:pStyle w:val="979"/>
        <w:pBdr/>
        <w:spacing/>
        <w:ind w:left="284"/>
        <w:jc w:val="both"/>
        <w:rPr>
          <w:b/>
          <w:bCs/>
          <w:sz w:val="20"/>
          <w:szCs w:val="20"/>
        </w:rPr>
      </w:pPr>
      <w:r>
        <w:rPr>
          <w:b/>
          <w:bCs/>
          <w:sz w:val="20"/>
          <w:szCs w:val="20"/>
        </w:rPr>
      </w:r>
      <w:r>
        <w:rPr>
          <w:b/>
          <w:bCs/>
          <w:sz w:val="20"/>
          <w:szCs w:val="20"/>
        </w:rPr>
      </w:r>
    </w:p>
    <w:p>
      <w:pPr>
        <w:pStyle w:val="979"/>
        <w:pBdr/>
        <w:spacing/>
        <w:ind w:left="284"/>
        <w:jc w:val="both"/>
        <w:rPr>
          <w:bCs/>
          <w:sz w:val="20"/>
          <w:szCs w:val="20"/>
        </w:rPr>
      </w:pPr>
      <w:r>
        <w:rPr>
          <w:b/>
          <w:bCs/>
          <w:sz w:val="20"/>
          <w:szCs w:val="20"/>
        </w:rPr>
        <w:t xml:space="preserve">12.9.</w:t>
      </w:r>
      <w:r>
        <w:rPr>
          <w:bCs/>
          <w:sz w:val="20"/>
          <w:szCs w:val="20"/>
        </w:rPr>
        <w:t xml:space="preserve"> A eventual prorrogação do prazo de regularização dependerá de requerimento formal e devidamente fundamentado da licitante, sujeito à análise e decisão da Administração.</w:t>
      </w:r>
      <w:r>
        <w:rPr>
          <w:bCs/>
          <w:sz w:val="20"/>
          <w:szCs w:val="20"/>
        </w:rPr>
      </w:r>
    </w:p>
    <w:p>
      <w:pPr>
        <w:pStyle w:val="979"/>
        <w:pBdr/>
        <w:spacing/>
        <w:ind w:left="284"/>
        <w:jc w:val="both"/>
        <w:rPr>
          <w:b/>
          <w:bCs/>
          <w:sz w:val="20"/>
          <w:szCs w:val="20"/>
        </w:rPr>
      </w:pPr>
      <w:r>
        <w:rPr>
          <w:b/>
          <w:bCs/>
          <w:sz w:val="20"/>
          <w:szCs w:val="20"/>
        </w:rPr>
      </w:r>
      <w:r>
        <w:rPr>
          <w:b/>
          <w:bCs/>
          <w:sz w:val="20"/>
          <w:szCs w:val="20"/>
        </w:rPr>
      </w:r>
    </w:p>
    <w:p>
      <w:pPr>
        <w:pStyle w:val="979"/>
        <w:pBdr/>
        <w:spacing/>
        <w:ind w:left="284"/>
        <w:jc w:val="both"/>
        <w:rPr>
          <w:bCs/>
          <w:sz w:val="20"/>
          <w:szCs w:val="20"/>
        </w:rPr>
      </w:pPr>
      <w:r>
        <w:rPr>
          <w:b/>
          <w:bCs/>
          <w:sz w:val="20"/>
          <w:szCs w:val="20"/>
        </w:rPr>
        <w:t xml:space="preserve">12</w:t>
      </w:r>
      <w:r>
        <w:rPr>
          <w:b/>
          <w:bCs/>
          <w:sz w:val="20"/>
          <w:szCs w:val="20"/>
        </w:rPr>
        <w:t xml:space="preserve">.10.</w:t>
      </w:r>
      <w:r>
        <w:rPr>
          <w:bCs/>
          <w:sz w:val="20"/>
          <w:szCs w:val="20"/>
        </w:rPr>
        <w:t xml:space="preserve"> A não regula</w:t>
      </w:r>
      <w:r>
        <w:rPr>
          <w:bCs/>
          <w:sz w:val="20"/>
          <w:szCs w:val="20"/>
        </w:rPr>
        <w:t xml:space="preserve">rização da documentação no prazo concedido implicará decadência do direito à contratação, sem prejuízo da aplicação das sanções cabíveis, facultando-se à Administração convocar os licitantes remanescentes, na ordem de classificação, ou revogar a licitação.</w:t>
      </w:r>
      <w:r>
        <w:rPr>
          <w:bCs/>
          <w:sz w:val="20"/>
          <w:szCs w:val="20"/>
        </w:rPr>
      </w:r>
    </w:p>
    <w:p>
      <w:pPr>
        <w:pStyle w:val="979"/>
        <w:pBdr/>
        <w:spacing/>
        <w:ind w:left="284"/>
        <w:jc w:val="both"/>
        <w:rPr>
          <w:b/>
          <w:bCs/>
          <w:sz w:val="20"/>
          <w:szCs w:val="20"/>
        </w:rPr>
      </w:pPr>
      <w:r>
        <w:rPr>
          <w:b/>
          <w:bCs/>
          <w:sz w:val="20"/>
          <w:szCs w:val="20"/>
        </w:rPr>
      </w:r>
      <w:r>
        <w:rPr>
          <w:b/>
          <w:bCs/>
          <w:sz w:val="20"/>
          <w:szCs w:val="20"/>
        </w:rPr>
      </w:r>
    </w:p>
    <w:p>
      <w:pPr>
        <w:pStyle w:val="979"/>
        <w:pBdr/>
        <w:spacing/>
        <w:ind w:left="284"/>
        <w:jc w:val="both"/>
        <w:rPr>
          <w:bCs/>
          <w:sz w:val="20"/>
          <w:szCs w:val="20"/>
        </w:rPr>
      </w:pPr>
      <w:r>
        <w:rPr>
          <w:b/>
          <w:bCs/>
          <w:sz w:val="20"/>
          <w:szCs w:val="20"/>
        </w:rPr>
        <w:t xml:space="preserve">12.11.</w:t>
      </w:r>
      <w:r>
        <w:rPr>
          <w:bCs/>
          <w:sz w:val="20"/>
          <w:szCs w:val="20"/>
        </w:rPr>
        <w:t xml:space="preserve"> A aplicação dos benefícios previstos nesta seção fica condicionada à observância do limite máximo de receita bruta anual para enquadramento como ME ou EPP, considerado o ano-calendário da realização da licitação, vedada sua conces</w:t>
      </w:r>
      <w:r>
        <w:rPr>
          <w:bCs/>
          <w:sz w:val="20"/>
          <w:szCs w:val="20"/>
        </w:rPr>
        <w:t xml:space="preserve">são quando a empresa tiver celebrado contratos com a Administração Pública que, somados, ultrapassem o limite legal.</w:t>
      </w:r>
      <w:r>
        <w:rPr>
          <w:bCs/>
          <w:sz w:val="20"/>
          <w:szCs w:val="20"/>
        </w:rPr>
      </w:r>
    </w:p>
    <w:p>
      <w:pPr>
        <w:pStyle w:val="979"/>
        <w:pBdr/>
        <w:spacing/>
        <w:ind w:left="284"/>
        <w:jc w:val="both"/>
        <w:rPr>
          <w:b/>
          <w:bCs/>
          <w:sz w:val="20"/>
          <w:szCs w:val="20"/>
        </w:rPr>
      </w:pPr>
      <w:r>
        <w:rPr>
          <w:b/>
          <w:bCs/>
          <w:sz w:val="20"/>
          <w:szCs w:val="20"/>
        </w:rPr>
      </w:r>
      <w:r>
        <w:rPr>
          <w:b/>
          <w:bCs/>
          <w:sz w:val="20"/>
          <w:szCs w:val="20"/>
        </w:rPr>
      </w:r>
    </w:p>
    <w:p>
      <w:pPr>
        <w:pStyle w:val="979"/>
        <w:pBdr/>
        <w:spacing/>
        <w:ind w:left="284"/>
        <w:jc w:val="both"/>
        <w:rPr>
          <w:bCs/>
          <w:sz w:val="20"/>
          <w:szCs w:val="20"/>
        </w:rPr>
      </w:pPr>
      <w:r>
        <w:rPr>
          <w:b/>
          <w:bCs/>
          <w:sz w:val="20"/>
          <w:szCs w:val="20"/>
        </w:rPr>
        <w:t xml:space="preserve">12.12.</w:t>
      </w:r>
      <w:r>
        <w:rPr>
          <w:bCs/>
          <w:sz w:val="20"/>
          <w:szCs w:val="20"/>
        </w:rPr>
        <w:t xml:space="preserve"> Não serão aplicadas ao presente certame as disposições dos arts. 47 e 48 da Lei Complementar nº 123/2006, com funda</w:t>
      </w:r>
      <w:r>
        <w:rPr>
          <w:bCs/>
          <w:sz w:val="20"/>
          <w:szCs w:val="20"/>
        </w:rPr>
        <w:t xml:space="preserve">mento no art. 49, inciso III, do mesmo diploma legal, tendo em vista que, embora o objeto seja, em tese, divisível e existam itens com valor estimado inferior a R$ 80.000,00 (oitenta mil reais), não restou demonstrada vantagem para a Administração Pública.</w:t>
      </w:r>
      <w:r>
        <w:rPr>
          <w:bCs/>
          <w:sz w:val="20"/>
          <w:szCs w:val="20"/>
        </w:rPr>
      </w:r>
    </w:p>
    <w:p>
      <w:pPr>
        <w:pStyle w:val="979"/>
        <w:pBdr/>
        <w:spacing/>
        <w:ind w:left="284"/>
        <w:jc w:val="both"/>
        <w:rPr>
          <w:b/>
          <w:bCs/>
          <w:sz w:val="20"/>
          <w:szCs w:val="20"/>
        </w:rPr>
      </w:pPr>
      <w:r>
        <w:rPr>
          <w:b/>
          <w:bCs/>
          <w:sz w:val="20"/>
          <w:szCs w:val="20"/>
        </w:rPr>
      </w:r>
      <w:r>
        <w:rPr>
          <w:b/>
          <w:bCs/>
          <w:sz w:val="20"/>
          <w:szCs w:val="20"/>
        </w:rPr>
      </w:r>
    </w:p>
    <w:p>
      <w:pPr>
        <w:pStyle w:val="979"/>
        <w:pBdr/>
        <w:spacing/>
        <w:ind w:left="284"/>
        <w:jc w:val="both"/>
        <w:rPr>
          <w:bCs/>
          <w:sz w:val="20"/>
          <w:szCs w:val="20"/>
        </w:rPr>
      </w:pPr>
      <w:r>
        <w:rPr>
          <w:b/>
          <w:bCs/>
          <w:sz w:val="20"/>
          <w:szCs w:val="20"/>
        </w:rPr>
        <w:t xml:space="preserve">12.12.1.</w:t>
      </w:r>
      <w:r>
        <w:rPr>
          <w:bCs/>
          <w:sz w:val="20"/>
          <w:szCs w:val="20"/>
        </w:rPr>
        <w:t xml:space="preserve"> A ado</w:t>
      </w:r>
      <w:r>
        <w:rPr>
          <w:bCs/>
          <w:sz w:val="20"/>
          <w:szCs w:val="20"/>
        </w:rPr>
        <w:t xml:space="preserve">ção de cota reservada ou de tratamento diferenciado poderia comprometer a padronização da aquisição, a uniformidade do conjunto do objeto, a economicidade e a eficiênc</w:t>
      </w:r>
      <w:r>
        <w:rPr>
          <w:bCs/>
          <w:sz w:val="20"/>
          <w:szCs w:val="20"/>
        </w:rPr>
        <w:t xml:space="preserve">ia administrativa, além de elevar o risco de fracasso ou deserto de itens, razão pela qual a disputa será realizada em regime de ampla concorrência, em consonância com os princípios da isonomia, da seleção da proposta mais vantajosa e do interesse público.</w:t>
      </w:r>
      <w:r>
        <w:rPr>
          <w:bCs/>
          <w:sz w:val="20"/>
          <w:szCs w:val="20"/>
        </w:rPr>
      </w:r>
    </w:p>
    <w:p>
      <w:pPr>
        <w:pStyle w:val="979"/>
        <w:pBdr/>
        <w:spacing/>
        <w:ind/>
        <w:jc w:val="both"/>
        <w:rPr>
          <w:rFonts w:eastAsia="Times New Roman"/>
          <w:b/>
          <w:color w:val="000000"/>
          <w:sz w:val="20"/>
          <w:szCs w:val="20"/>
          <w:lang w:eastAsia="en-US"/>
        </w:rPr>
      </w:pPr>
      <w:r>
        <w:rPr>
          <w:rFonts w:eastAsia="Times New Roman"/>
          <w:b/>
          <w:color w:val="000000"/>
          <w:sz w:val="20"/>
          <w:szCs w:val="20"/>
          <w:lang w:eastAsia="en-US"/>
        </w:rPr>
      </w:r>
      <w:r>
        <w:rPr>
          <w:rFonts w:eastAsia="Times New Roman"/>
          <w:b/>
          <w:color w:val="000000"/>
          <w:sz w:val="20"/>
          <w:szCs w:val="20"/>
          <w:lang w:eastAsia="en-US"/>
        </w:rPr>
      </w:r>
    </w:p>
    <w:p>
      <w:pPr>
        <w:pStyle w:val="979"/>
        <w:pBdr/>
        <w:spacing/>
        <w:ind/>
        <w:jc w:val="both"/>
        <w:rPr>
          <w:rFonts w:eastAsia="Times New Roman"/>
          <w:b/>
          <w:color w:val="000000"/>
          <w:sz w:val="20"/>
          <w:szCs w:val="20"/>
          <w:lang w:eastAsia="en-US"/>
        </w:rPr>
      </w:pPr>
      <w:r>
        <w:rPr>
          <w:rFonts w:eastAsia="Times New Roman"/>
          <w:b/>
          <w:color w:val="000000"/>
          <w:sz w:val="20"/>
          <w:szCs w:val="20"/>
          <w:lang w:eastAsia="en-US"/>
        </w:rPr>
        <w:t xml:space="preserve"> </w:t>
      </w:r>
      <w:r>
        <w:rPr>
          <w:rFonts w:eastAsia="Times New Roman"/>
          <w:b/>
          <w:color w:val="000000"/>
          <w:sz w:val="20"/>
          <w:szCs w:val="20"/>
          <w:lang w:eastAsia="en-US"/>
        </w:rPr>
        <w:t xml:space="preserve">13. DOS DOCUMENTOS EXIGIDOS PARA HABILITAÇÃO:</w:t>
      </w:r>
      <w:bookmarkEnd w:id="17"/>
      <w:r>
        <w:rPr>
          <w:rFonts w:eastAsia="Times New Roman"/>
          <w:b/>
          <w:color w:val="000000"/>
          <w:sz w:val="20"/>
          <w:szCs w:val="20"/>
          <w:lang w:eastAsia="en-US"/>
        </w:rPr>
        <w:t xml:space="preserve"> </w:t>
      </w:r>
      <w:r>
        <w:rPr>
          <w:rFonts w:eastAsia="Times New Roman"/>
          <w:b/>
          <w:color w:val="000000"/>
          <w:sz w:val="20"/>
          <w:szCs w:val="20"/>
          <w:lang w:eastAsia="en-US"/>
        </w:rPr>
      </w:r>
    </w:p>
    <w:p>
      <w:pPr>
        <w:pStyle w:val="828"/>
        <w:pBdr/>
        <w:spacing/>
        <w:ind/>
        <w:jc w:val="both"/>
        <w:rPr>
          <w:rFonts w:ascii="Arial" w:hAnsi="Arial" w:eastAsia="SimSun" w:cs="Arial"/>
          <w:b/>
          <w:highlight w:val="yellow"/>
        </w:rPr>
      </w:pPr>
      <w:r>
        <w:rPr>
          <w:rFonts w:ascii="Arial" w:hAnsi="Arial" w:eastAsia="SimSun" w:cs="Arial"/>
          <w:b/>
          <w:highlight w:val="yellow"/>
        </w:rPr>
      </w:r>
      <w:r>
        <w:rPr>
          <w:rFonts w:ascii="Arial" w:hAnsi="Arial" w:eastAsia="SimSun" w:cs="Arial"/>
          <w:b/>
          <w:highlight w:val="yellow"/>
        </w:rPr>
      </w:r>
    </w:p>
    <w:p>
      <w:pPr>
        <w:pStyle w:val="828"/>
        <w:pBdr/>
        <w:spacing/>
        <w:ind/>
        <w:jc w:val="both"/>
        <w:rPr>
          <w:rFonts w:ascii="Arial" w:hAnsi="Arial" w:cs="Arial"/>
        </w:rPr>
      </w:pPr>
      <w:r>
        <w:rPr>
          <w:rFonts w:ascii="Arial" w:hAnsi="Arial" w:cs="Arial"/>
          <w:b/>
        </w:rPr>
        <w:t xml:space="preserve">13.1. </w:t>
      </w:r>
      <w:r>
        <w:rPr>
          <w:rFonts w:ascii="Arial" w:hAnsi="Arial" w:cs="Arial"/>
          <w:lang w:eastAsia="en-US"/>
        </w:rPr>
        <w:t xml:space="preserve">Os documentos exigidos do (s) ve</w:t>
      </w:r>
      <w:r>
        <w:rPr>
          <w:rFonts w:ascii="Arial" w:hAnsi="Arial" w:cs="Arial"/>
          <w:lang w:eastAsia="en-US"/>
        </w:rPr>
        <w:t xml:space="preserve">ncedor (es) para habilitação, deverão ser anexados exclusivamente na plataforma da BLL, em até 2 (duas) horas após o encerramento da sessão (art. 62 a 70 da Lei 14.133/21):</w:t>
      </w:r>
      <w:r>
        <w:rPr>
          <w:rFonts w:ascii="Arial" w:hAnsi="Arial" w:cs="Arial"/>
        </w:rPr>
      </w:r>
      <w:r>
        <w:rPr>
          <w:rFonts w:ascii="Arial" w:hAnsi="Arial" w:cs="Arial"/>
        </w:rPr>
      </w:r>
    </w:p>
    <w:p>
      <w:pPr>
        <w:pStyle w:val="979"/>
        <w:pBdr/>
        <w:spacing/>
        <w:ind/>
        <w:jc w:val="both"/>
        <w:rPr>
          <w:rFonts w:eastAsia="Times New Roman"/>
          <w:b/>
          <w:sz w:val="20"/>
          <w:szCs w:val="20"/>
        </w:rPr>
      </w:pPr>
      <w:r>
        <w:rPr>
          <w:rFonts w:eastAsia="Times New Roman"/>
          <w:b/>
          <w:sz w:val="20"/>
          <w:szCs w:val="20"/>
        </w:rPr>
      </w:r>
      <w:r>
        <w:rPr>
          <w:rFonts w:eastAsia="Times New Roman"/>
          <w:b/>
          <w:sz w:val="20"/>
          <w:szCs w:val="20"/>
        </w:rPr>
      </w:r>
    </w:p>
    <w:p>
      <w:pPr>
        <w:pStyle w:val="979"/>
        <w:pBdr/>
        <w:spacing/>
        <w:ind/>
        <w:jc w:val="both"/>
        <w:rPr>
          <w:sz w:val="20"/>
          <w:szCs w:val="20"/>
        </w:rPr>
      </w:pPr>
      <w:r>
        <w:rPr>
          <w:rFonts w:eastAsia="Times New Roman"/>
          <w:b/>
          <w:sz w:val="20"/>
          <w:szCs w:val="20"/>
        </w:rPr>
        <w:t xml:space="preserve">13.2 A DOCUMENTAÇÃO RELATIVA À HABILITAÇÃO JURÍDICA CONSISTE EM: </w:t>
      </w:r>
      <w:r>
        <w:rPr>
          <w:sz w:val="20"/>
          <w:szCs w:val="20"/>
        </w:rPr>
      </w:r>
      <w:r>
        <w:rPr>
          <w:sz w:val="20"/>
          <w:szCs w:val="20"/>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426"/>
        <w:jc w:val="both"/>
        <w:rPr>
          <w:rFonts w:ascii="Arial" w:hAnsi="Arial" w:cs="Arial"/>
        </w:rPr>
      </w:pPr>
      <w:r>
        <w:rPr>
          <w:rFonts w:ascii="Arial" w:hAnsi="Arial" w:cs="Arial"/>
          <w:b/>
        </w:rPr>
        <w:t xml:space="preserve">13.2.1. </w:t>
      </w:r>
      <w:r>
        <w:rPr>
          <w:rFonts w:ascii="Arial" w:hAnsi="Arial" w:cs="Arial"/>
        </w:rPr>
        <w:t xml:space="preserve">No caso de empresário individual, inscrição no Registro Público de Empresas Mercantis, a cargo da Junta Comercial da respectiva sede; Microempreendedor Individual - MEI: Certificado da Condição de Microempreendedor Individual - CCMEI</w:t>
      </w:r>
      <w:r>
        <w:rPr>
          <w:rFonts w:ascii="Arial" w:hAnsi="Arial" w:cs="Arial"/>
        </w:rPr>
      </w:r>
    </w:p>
    <w:p>
      <w:pPr>
        <w:pStyle w:val="828"/>
        <w:pBdr/>
        <w:spacing/>
        <w:ind w:left="426"/>
        <w:jc w:val="both"/>
        <w:rPr>
          <w:rFonts w:ascii="Arial" w:hAnsi="Arial" w:cs="Arial"/>
          <w:b/>
        </w:rPr>
      </w:pPr>
      <w:r>
        <w:rPr>
          <w:rFonts w:ascii="Arial" w:hAnsi="Arial" w:cs="Arial"/>
          <w:b/>
        </w:rPr>
      </w:r>
      <w:r>
        <w:rPr>
          <w:rFonts w:ascii="Arial" w:hAnsi="Arial" w:cs="Arial"/>
          <w:b/>
        </w:rPr>
      </w:r>
    </w:p>
    <w:p>
      <w:pPr>
        <w:pStyle w:val="828"/>
        <w:pBdr/>
        <w:spacing/>
        <w:ind w:left="426"/>
        <w:jc w:val="both"/>
        <w:rPr>
          <w:rFonts w:ascii="Arial" w:hAnsi="Arial" w:cs="Arial"/>
        </w:rPr>
      </w:pPr>
      <w:r>
        <w:rPr>
          <w:rFonts w:ascii="Arial" w:hAnsi="Arial" w:cs="Arial"/>
          <w:b/>
        </w:rPr>
        <w:t xml:space="preserve">13.2.2.</w:t>
      </w:r>
      <w:r>
        <w:rPr>
          <w:rFonts w:ascii="Arial" w:hAnsi="Arial" w:cs="Arial"/>
        </w:rPr>
        <w:t xml:space="preserve">  Ato constitutivo, e</w:t>
      </w:r>
      <w:r>
        <w:rPr>
          <w:rFonts w:ascii="Arial" w:hAnsi="Arial" w:cs="Arial"/>
        </w:rPr>
        <w:t xml:space="preserve">statuto ou contrato social e alterações em vigor, devidamente registrado, em se tratando de sociedades comerciais e, no caso de sociedades por ações, acompanhado de documentos de eleição de seus administradores; </w:t>
      </w:r>
      <w:r>
        <w:rPr>
          <w:rFonts w:ascii="Arial" w:hAnsi="Arial" w:cs="Arial"/>
        </w:rPr>
      </w:r>
    </w:p>
    <w:p>
      <w:pPr>
        <w:pStyle w:val="828"/>
        <w:pBdr/>
        <w:spacing/>
        <w:ind w:left="426"/>
        <w:jc w:val="both"/>
        <w:rPr>
          <w:rFonts w:ascii="Arial" w:hAnsi="Arial" w:cs="Arial"/>
        </w:rPr>
      </w:pPr>
      <w:r>
        <w:rPr>
          <w:rFonts w:ascii="Arial" w:hAnsi="Arial" w:cs="Arial"/>
        </w:rPr>
      </w:r>
      <w:r>
        <w:rPr>
          <w:rFonts w:ascii="Arial" w:hAnsi="Arial" w:cs="Arial"/>
        </w:rPr>
      </w:r>
    </w:p>
    <w:p>
      <w:pPr>
        <w:pStyle w:val="828"/>
        <w:pBdr/>
        <w:spacing/>
        <w:ind w:left="426"/>
        <w:jc w:val="both"/>
        <w:rPr>
          <w:rFonts w:ascii="Arial" w:hAnsi="Arial" w:cs="Arial"/>
        </w:rPr>
      </w:pPr>
      <w:r>
        <w:rPr>
          <w:rFonts w:ascii="Arial" w:hAnsi="Arial" w:cs="Arial"/>
          <w:b/>
        </w:rPr>
        <w:t xml:space="preserve">13.2.3.</w:t>
      </w:r>
      <w:r>
        <w:rPr>
          <w:rFonts w:ascii="Arial" w:hAnsi="Arial" w:cs="Arial"/>
        </w:rPr>
        <w:t xml:space="preserve">  Inscrição do ato constitutivo, no caso de sociedades civis, acompanhada de prova de diretoria em exercício; </w:t>
      </w:r>
      <w:r>
        <w:rPr>
          <w:rFonts w:ascii="Arial" w:hAnsi="Arial" w:cs="Arial"/>
        </w:rPr>
      </w:r>
    </w:p>
    <w:p>
      <w:pPr>
        <w:pStyle w:val="828"/>
        <w:pBdr/>
        <w:spacing/>
        <w:ind w:left="426"/>
        <w:jc w:val="both"/>
        <w:rPr>
          <w:rFonts w:ascii="Arial" w:hAnsi="Arial" w:cs="Arial"/>
        </w:rPr>
      </w:pPr>
      <w:r>
        <w:rPr>
          <w:rFonts w:ascii="Arial" w:hAnsi="Arial" w:cs="Arial"/>
        </w:rPr>
      </w:r>
      <w:r>
        <w:rPr>
          <w:rFonts w:ascii="Arial" w:hAnsi="Arial" w:cs="Arial"/>
        </w:rPr>
      </w:r>
    </w:p>
    <w:p>
      <w:pPr>
        <w:pStyle w:val="828"/>
        <w:pBdr/>
        <w:spacing/>
        <w:ind w:left="426"/>
        <w:jc w:val="both"/>
        <w:rPr>
          <w:rFonts w:ascii="Arial" w:hAnsi="Arial" w:cs="Arial"/>
        </w:rPr>
      </w:pPr>
      <w:r>
        <w:rPr>
          <w:rFonts w:ascii="Arial" w:hAnsi="Arial" w:cs="Arial"/>
          <w:b/>
        </w:rPr>
        <w:t xml:space="preserve">13.2.4.</w:t>
      </w:r>
      <w:r>
        <w:rPr>
          <w:rFonts w:ascii="Arial" w:hAnsi="Arial" w:cs="Arial"/>
        </w:rPr>
        <w:t xml:space="preserve"> Decreto de autorização, em se tratando de empresa ou sociedade estrangeira em funcionamento no País, e ato de registro ou autorização para funcionamento expedido pelo Órgã</w:t>
      </w:r>
      <w:r>
        <w:rPr>
          <w:rFonts w:ascii="Arial" w:hAnsi="Arial" w:cs="Arial"/>
        </w:rPr>
        <w:t xml:space="preserve">o competente, quando a atividade assim o exigir;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left="426"/>
        <w:jc w:val="both"/>
        <w:rPr>
          <w:rFonts w:ascii="Arial" w:hAnsi="Arial" w:cs="Arial"/>
        </w:rPr>
      </w:pPr>
      <w:r>
        <w:rPr>
          <w:rFonts w:ascii="Arial" w:hAnsi="Arial" w:cs="Arial"/>
          <w:b/>
        </w:rPr>
        <w:t xml:space="preserve">13.2.</w:t>
      </w:r>
      <w:r>
        <w:rPr>
          <w:rFonts w:ascii="Arial" w:hAnsi="Arial" w:cs="Arial"/>
          <w:b/>
        </w:rPr>
        <w:t xml:space="preserve">5</w:t>
      </w:r>
      <w:r>
        <w:rPr>
          <w:rFonts w:ascii="Arial" w:hAnsi="Arial" w:cs="Arial"/>
          <w:b/>
        </w:rPr>
        <w:t xml:space="preserve">.</w:t>
      </w:r>
      <w:r>
        <w:rPr>
          <w:rFonts w:ascii="Arial" w:hAnsi="Arial" w:cs="Arial"/>
        </w:rPr>
        <w:t xml:space="preserve"> Cópia do documento de Identidade e CPF dos Representantes</w:t>
      </w:r>
      <w:r>
        <w:rPr>
          <w:rFonts w:ascii="Arial" w:hAnsi="Arial" w:cs="Arial"/>
        </w:rPr>
        <w:t xml:space="preserve"> Legais da empresa; sociedade cooperativa: ata de fundação e estatuto social em vigor, com a ata da assembleia que o aprovou, devidamente arquivado na Junta Comercial da respectiva sede, bem como o registro de que trata o art. 107 da Lei nº 5.764, de 1971.</w:t>
      </w:r>
      <w:r>
        <w:rPr>
          <w:rFonts w:ascii="Arial" w:hAnsi="Arial" w:cs="Arial"/>
        </w:rPr>
      </w:r>
    </w:p>
    <w:p>
      <w:pPr>
        <w:pStyle w:val="828"/>
        <w:pBdr/>
        <w:tabs>
          <w:tab w:val="left" w:leader="none" w:pos="7605"/>
        </w:tabs>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13.3. DA COMPROVAÇÃO DE LOCALIZAÇÃO E FUNCIONAMENTO: </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970"/>
        <w:pBdr/>
        <w:spacing/>
        <w:ind w:firstLine="0" w:left="426"/>
        <w:rPr>
          <w:sz w:val="20"/>
          <w:lang w:val="pt-BR"/>
        </w:rPr>
      </w:pPr>
      <w:r>
        <w:rPr>
          <w:b/>
          <w:sz w:val="20"/>
          <w:lang w:val="pt-BR" w:eastAsia="pt-BR"/>
        </w:rPr>
        <w:t xml:space="preserve">13.3.1. </w:t>
      </w:r>
      <w:r>
        <w:rPr>
          <w:sz w:val="20"/>
          <w:lang w:val="pt-BR"/>
        </w:rPr>
        <w:t xml:space="preserve">Alvará de Localização e Funcionamento, </w:t>
      </w:r>
      <w:r>
        <w:rPr>
          <w:b/>
          <w:sz w:val="20"/>
          <w:lang w:val="pt-BR"/>
        </w:rPr>
        <w:t xml:space="preserve">admitido</w:t>
      </w:r>
      <w:r>
        <w:rPr>
          <w:sz w:val="20"/>
          <w:lang w:val="pt-BR"/>
        </w:rPr>
        <w:t xml:space="preserve"> </w:t>
      </w:r>
      <w:r>
        <w:rPr>
          <w:b/>
          <w:sz w:val="20"/>
          <w:lang w:val="pt-BR"/>
        </w:rPr>
        <w:t xml:space="preserve">apenas para fins de verific</w:t>
      </w:r>
      <w:r>
        <w:rPr>
          <w:b/>
          <w:sz w:val="20"/>
          <w:lang w:val="pt-BR"/>
        </w:rPr>
        <w:t xml:space="preserve">ação</w:t>
      </w:r>
      <w:r>
        <w:rPr>
          <w:sz w:val="20"/>
          <w:lang w:val="pt-BR"/>
        </w:rPr>
        <w:t xml:space="preserve">. Não constituindo critério de habilitação. </w:t>
      </w:r>
      <w:r>
        <w:rPr>
          <w:sz w:val="20"/>
          <w:lang w:val="pt-BR"/>
        </w:rPr>
      </w:r>
    </w:p>
    <w:p>
      <w:pPr>
        <w:pStyle w:val="970"/>
        <w:pBdr/>
        <w:spacing/>
        <w:ind w:firstLine="0" w:left="426"/>
        <w:rPr>
          <w:sz w:val="20"/>
          <w:lang w:val="pt-BR" w:eastAsia="pt-BR"/>
        </w:rPr>
      </w:pPr>
      <w:r>
        <w:rPr>
          <w:sz w:val="20"/>
          <w:lang w:val="pt-BR" w:eastAsia="pt-BR"/>
        </w:rPr>
      </w:r>
      <w:r>
        <w:rPr>
          <w:sz w:val="20"/>
          <w:lang w:val="pt-BR" w:eastAsia="pt-BR"/>
        </w:rPr>
      </w:r>
    </w:p>
    <w:p>
      <w:pPr>
        <w:pStyle w:val="828"/>
        <w:pBdr/>
        <w:spacing/>
        <w:ind w:left="284"/>
        <w:jc w:val="both"/>
        <w:rPr>
          <w:rFonts w:ascii="Arial" w:hAnsi="Arial" w:cs="Arial"/>
        </w:rPr>
      </w:pPr>
      <w:r>
        <w:rPr>
          <w:rFonts w:ascii="Arial" w:hAnsi="Arial" w:cs="Arial"/>
          <w:b/>
        </w:rPr>
        <w:t xml:space="preserve">13.4. A DOCUMENTA</w:t>
      </w:r>
      <w:r>
        <w:rPr>
          <w:rFonts w:ascii="Arial" w:hAnsi="Arial" w:cs="Arial"/>
          <w:b/>
        </w:rPr>
        <w:t xml:space="preserve">ÇÃO RELATIVA À QUALIFICAÇÃO ECON</w:t>
      </w:r>
      <w:r>
        <w:rPr>
          <w:rFonts w:ascii="Arial" w:hAnsi="Arial" w:cs="Arial"/>
          <w:b/>
        </w:rPr>
        <w:t xml:space="preserve">ÔMICA-FINANCEIRA CONSISTE EM: </w:t>
      </w:r>
      <w:r>
        <w:rPr>
          <w:rFonts w:ascii="Arial" w:hAnsi="Arial" w:cs="Arial"/>
        </w:rPr>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426"/>
        <w:jc w:val="both"/>
        <w:rPr>
          <w:rFonts w:ascii="Arial" w:hAnsi="Arial" w:cs="Arial"/>
        </w:rPr>
      </w:pPr>
      <w:r>
        <w:rPr>
          <w:rFonts w:ascii="Arial" w:hAnsi="Arial" w:cs="Arial"/>
          <w:b/>
        </w:rPr>
        <w:t xml:space="preserve">13.4.1. </w:t>
      </w:r>
      <w:r>
        <w:rPr>
          <w:rFonts w:ascii="Arial" w:hAnsi="Arial" w:cs="Arial"/>
        </w:rPr>
        <w:t xml:space="preserve">Certidão negativa de feitos sobre falência expedida pelo distribuidor da sede do licitante, em data não superior a 60 (sessenta) dias da data designada para apresentação do documento, exceto se outro prazo constar do referido documento;</w:t>
      </w:r>
      <w:r>
        <w:rPr>
          <w:rFonts w:ascii="Arial" w:hAnsi="Arial" w:cs="Arial"/>
        </w:rPr>
      </w:r>
      <w:r>
        <w:rPr>
          <w:rFonts w:ascii="Arial" w:hAnsi="Arial" w:cs="Arial"/>
        </w:rPr>
      </w:r>
    </w:p>
    <w:p>
      <w:pPr>
        <w:pStyle w:val="828"/>
        <w:pBdr/>
        <w:spacing/>
        <w:ind w:left="426"/>
        <w:jc w:val="both"/>
        <w:rPr>
          <w:rFonts w:ascii="Arial" w:hAnsi="Arial" w:cs="Arial"/>
        </w:rPr>
      </w:pPr>
      <w:r>
        <w:rPr>
          <w:rFonts w:ascii="Arial" w:hAnsi="Arial" w:cs="Arial"/>
        </w:rPr>
      </w:r>
      <w:r>
        <w:rPr>
          <w:rFonts w:ascii="Arial" w:hAnsi="Arial" w:cs="Arial"/>
        </w:rPr>
      </w:r>
    </w:p>
    <w:p>
      <w:pPr>
        <w:pStyle w:val="828"/>
        <w:pBdr/>
        <w:spacing/>
        <w:ind w:left="426"/>
        <w:jc w:val="both"/>
        <w:rPr>
          <w:rFonts w:ascii="Arial" w:hAnsi="Arial" w:cs="Arial"/>
        </w:rPr>
      </w:pPr>
      <w:r>
        <w:rPr>
          <w:rFonts w:ascii="Arial" w:hAnsi="Arial" w:cs="Arial"/>
          <w:b/>
        </w:rPr>
        <w:t xml:space="preserve">13.4.1.1.</w:t>
      </w:r>
      <w:r>
        <w:rPr>
          <w:rFonts w:ascii="Arial" w:hAnsi="Arial" w:cs="Arial"/>
        </w:rPr>
        <w:t xml:space="preserve"> Caso a certidão exigida acima seja emitida na forma POSITIVA para recuperação judicial, o licitante deverá comprovar, por mei</w:t>
      </w:r>
      <w:r>
        <w:rPr>
          <w:rFonts w:ascii="Arial" w:hAnsi="Arial" w:cs="Arial"/>
        </w:rPr>
        <w:t xml:space="preserve">o de certidão emitida pela instância judicia</w:t>
      </w:r>
      <w:r>
        <w:rPr>
          <w:rFonts w:ascii="Arial" w:hAnsi="Arial" w:cs="Arial"/>
        </w:rPr>
        <w:t xml:space="preserve">l competente, que o plano de recuperação foi aprovado em assembleia geral de credores e homologado pelo juiz, e que está sendo cumprido regularmente, demonstrando que a empresa está apta econômica e financeiramente a participar de procedimento licitatório.</w:t>
      </w:r>
      <w:r>
        <w:rPr>
          <w:rFonts w:ascii="Arial" w:hAnsi="Arial" w:cs="Arial"/>
        </w:rPr>
      </w:r>
      <w:r>
        <w:rPr>
          <w:rFonts w:ascii="Arial" w:hAnsi="Arial" w:cs="Arial"/>
        </w:rPr>
      </w:r>
    </w:p>
    <w:p>
      <w:pPr>
        <w:pStyle w:val="970"/>
        <w:pBdr/>
        <w:spacing/>
        <w:ind w:firstLine="0" w:left="0"/>
        <w:rPr>
          <w:sz w:val="20"/>
          <w:lang w:val="pt-BR" w:eastAsia="pt-BR"/>
        </w:rPr>
      </w:pPr>
      <w:r>
        <w:rPr>
          <w:sz w:val="20"/>
          <w:lang w:val="pt-BR" w:eastAsia="pt-BR"/>
        </w:rPr>
      </w:r>
      <w:r>
        <w:rPr>
          <w:sz w:val="20"/>
          <w:lang w:val="pt-BR" w:eastAsia="pt-BR"/>
        </w:rPr>
      </w:r>
    </w:p>
    <w:p>
      <w:pPr>
        <w:pStyle w:val="828"/>
        <w:pBdr/>
        <w:spacing/>
        <w:ind w:left="284"/>
        <w:jc w:val="both"/>
        <w:rPr>
          <w:rFonts w:ascii="Arial" w:hAnsi="Arial" w:cs="Arial"/>
        </w:rPr>
      </w:pPr>
      <w:r>
        <w:rPr>
          <w:rFonts w:ascii="Arial" w:hAnsi="Arial" w:cs="Arial"/>
          <w:b/>
        </w:rPr>
        <w:t xml:space="preserve">13.5. A DOCUMENTAÇÃO RELATIVA À REGULARIDADE FISCAL E TRABALHISTA CONSISTE EM:</w:t>
      </w:r>
      <w:r>
        <w:rPr>
          <w:rFonts w:ascii="Arial" w:hAnsi="Arial" w:cs="Arial"/>
        </w:rPr>
      </w:r>
      <w:r>
        <w:rPr>
          <w:rFonts w:ascii="Arial" w:hAnsi="Arial" w:cs="Arial"/>
        </w:rPr>
      </w:r>
    </w:p>
    <w:p>
      <w:pPr>
        <w:pStyle w:val="971"/>
        <w:pBdr/>
        <w:spacing/>
        <w:ind/>
        <w:rPr>
          <w:rFonts w:ascii="Arial" w:hAnsi="Arial" w:cs="Arial"/>
          <w:b/>
          <w:sz w:val="20"/>
        </w:rPr>
      </w:pPr>
      <w:r>
        <w:rPr>
          <w:rFonts w:ascii="Arial" w:hAnsi="Arial" w:cs="Arial"/>
          <w:b/>
          <w:sz w:val="20"/>
        </w:rPr>
      </w:r>
      <w:r>
        <w:rPr>
          <w:rFonts w:ascii="Arial" w:hAnsi="Arial" w:cs="Arial"/>
          <w:b/>
          <w:sz w:val="20"/>
        </w:rPr>
      </w:r>
    </w:p>
    <w:p>
      <w:pPr>
        <w:pStyle w:val="970"/>
        <w:pBdr/>
        <w:spacing/>
        <w:ind w:firstLine="0" w:left="426"/>
        <w:rPr>
          <w:sz w:val="20"/>
          <w:lang w:val="pt-BR"/>
        </w:rPr>
      </w:pPr>
      <w:r>
        <w:rPr>
          <w:b/>
          <w:sz w:val="20"/>
          <w:lang w:val="pt-BR" w:eastAsia="pt-BR"/>
        </w:rPr>
        <w:t xml:space="preserve">13.5.1</w:t>
      </w:r>
      <w:r>
        <w:rPr>
          <w:sz w:val="20"/>
          <w:lang w:val="pt-BR" w:eastAsia="pt-BR"/>
        </w:rPr>
        <w:t xml:space="preserve">. Prova de inscrição no Cadastro Nacional de Pessoas Jurídicas (CNPJ);</w:t>
      </w:r>
      <w:r>
        <w:rPr>
          <w:sz w:val="20"/>
          <w:lang w:val="pt-BR"/>
        </w:rPr>
      </w:r>
      <w:r>
        <w:rPr>
          <w:sz w:val="20"/>
          <w:lang w:val="pt-BR"/>
        </w:rPr>
      </w:r>
    </w:p>
    <w:p>
      <w:pPr>
        <w:pStyle w:val="828"/>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pPr>
        <w:pStyle w:val="970"/>
        <w:pBdr/>
        <w:spacing/>
        <w:ind w:firstLine="0" w:left="426"/>
        <w:rPr>
          <w:sz w:val="20"/>
          <w:lang w:val="pt-BR"/>
        </w:rPr>
      </w:pPr>
      <w:r>
        <w:rPr>
          <w:b/>
          <w:sz w:val="20"/>
          <w:lang w:val="pt-BR" w:eastAsia="pt-BR"/>
        </w:rPr>
        <w:t xml:space="preserve">13.5.2.</w:t>
      </w:r>
      <w:r>
        <w:rPr>
          <w:sz w:val="20"/>
          <w:lang w:val="pt-BR" w:eastAsia="pt-BR"/>
        </w:rPr>
        <w:t xml:space="preserve"> Prova de Inscrição no Cadastro de Contribuin</w:t>
      </w:r>
      <w:r>
        <w:rPr>
          <w:sz w:val="20"/>
          <w:lang w:val="pt-BR" w:eastAsia="pt-BR"/>
        </w:rPr>
        <w:t xml:space="preserve">te Estadual, relativo à sede da licitante, pertinente ao seu ramo de atividade e compatível com o objeto do certame.</w:t>
      </w:r>
      <w:r>
        <w:rPr>
          <w:sz w:val="20"/>
          <w:lang w:val="pt-BR"/>
        </w:rPr>
      </w:r>
      <w:r>
        <w:rPr>
          <w:sz w:val="20"/>
          <w:lang w:val="pt-BR"/>
        </w:rPr>
      </w:r>
    </w:p>
    <w:p>
      <w:pPr>
        <w:pStyle w:val="828"/>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pPr>
        <w:pStyle w:val="970"/>
        <w:pBdr/>
        <w:spacing/>
        <w:ind w:firstLine="0" w:left="426"/>
        <w:rPr>
          <w:sz w:val="20"/>
          <w:lang w:val="pt-BR"/>
        </w:rPr>
      </w:pPr>
      <w:r>
        <w:rPr>
          <w:b/>
          <w:sz w:val="20"/>
          <w:lang w:val="pt-BR" w:eastAsia="pt-BR"/>
        </w:rPr>
        <w:t xml:space="preserve">13.5.3.</w:t>
      </w:r>
      <w:r>
        <w:rPr>
          <w:sz w:val="20"/>
          <w:lang w:val="pt-BR" w:eastAsia="pt-BR"/>
        </w:rPr>
        <w:t xml:space="preserve"> Certidão Negativa de Débitos expedida conjuntamente pela Secretaria da Receita Federal do Brasil (RFB) e pela Procuradoria-Geral d</w:t>
      </w:r>
      <w:r>
        <w:rPr>
          <w:sz w:val="20"/>
          <w:lang w:val="pt-BR" w:eastAsia="pt-BR"/>
        </w:rPr>
        <w:t xml:space="preserve">a Fazenda Nacional (PGFN), referente a todos os créditos tributários federais e à Dívida Ativa da União (DAU) por elas administrados, inclusive os créditos tributários relativos às Contribuições Sociais previstas nas alíneas “a”, “b”, e “c” do parágrafo ún</w:t>
      </w:r>
      <w:r>
        <w:rPr>
          <w:sz w:val="20"/>
          <w:lang w:val="pt-BR" w:eastAsia="pt-BR"/>
        </w:rPr>
        <w:t xml:space="preserve">ico do art. 11 da Lei nº 8.212, de 24 de julho de 1991, às contribuições instituídas a título de substituição, e às contribuições devidas, por lei, a terceiros;</w:t>
      </w:r>
      <w:r>
        <w:rPr>
          <w:sz w:val="20"/>
          <w:lang w:val="pt-BR"/>
        </w:rPr>
      </w:r>
      <w:r>
        <w:rPr>
          <w:sz w:val="20"/>
          <w:lang w:val="pt-BR"/>
        </w:rPr>
      </w:r>
    </w:p>
    <w:p>
      <w:pPr>
        <w:pStyle w:val="828"/>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pPr>
        <w:pStyle w:val="970"/>
        <w:pBdr/>
        <w:spacing/>
        <w:ind w:firstLine="0" w:left="426"/>
        <w:rPr>
          <w:sz w:val="20"/>
          <w:lang w:val="pt-BR"/>
        </w:rPr>
      </w:pPr>
      <w:r>
        <w:rPr>
          <w:b/>
          <w:sz w:val="20"/>
          <w:lang w:val="pt-BR" w:eastAsia="pt-BR"/>
        </w:rPr>
        <w:t xml:space="preserve">13.5.4.</w:t>
      </w:r>
      <w:r>
        <w:rPr>
          <w:sz w:val="20"/>
          <w:lang w:val="pt-BR" w:eastAsia="pt-BR"/>
        </w:rPr>
        <w:t xml:space="preserve"> Certidão Negativa de Débitos Fiscal com a Fazenda Estadual, emitida pela Agência Fazendária da Secretaria de estado de fazenda do respectivo domicílio tributário;</w:t>
      </w:r>
      <w:r>
        <w:rPr>
          <w:sz w:val="20"/>
          <w:lang w:val="pt-BR"/>
        </w:rPr>
      </w:r>
      <w:r>
        <w:rPr>
          <w:sz w:val="20"/>
          <w:lang w:val="pt-BR"/>
        </w:rPr>
      </w:r>
    </w:p>
    <w:p>
      <w:pPr>
        <w:pStyle w:val="828"/>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pPr>
        <w:pStyle w:val="970"/>
        <w:pBdr/>
        <w:spacing/>
        <w:ind w:firstLine="0" w:left="426"/>
        <w:rPr>
          <w:sz w:val="20"/>
          <w:lang w:val="pt-BR"/>
        </w:rPr>
      </w:pPr>
      <w:r>
        <w:rPr>
          <w:b/>
          <w:sz w:val="20"/>
          <w:lang w:val="pt-BR" w:eastAsia="pt-BR"/>
        </w:rPr>
        <w:t xml:space="preserve">13.5.5.</w:t>
      </w:r>
      <w:r>
        <w:rPr>
          <w:sz w:val="20"/>
          <w:lang w:val="pt-BR" w:eastAsia="pt-BR"/>
        </w:rPr>
        <w:t xml:space="preserve"> Certidão Negativa de Débitos referentes aos tributos municipais, expedida pela Secretaria Municipal da Fazenda ou Finanças do respectivo domicílio tributário;</w:t>
      </w:r>
      <w:r>
        <w:rPr>
          <w:sz w:val="20"/>
          <w:lang w:val="pt-BR"/>
        </w:rPr>
      </w:r>
      <w:r>
        <w:rPr>
          <w:sz w:val="20"/>
          <w:lang w:val="pt-BR"/>
        </w:rPr>
      </w:r>
    </w:p>
    <w:p>
      <w:pPr>
        <w:pStyle w:val="828"/>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pPr>
        <w:pStyle w:val="970"/>
        <w:pBdr/>
        <w:spacing/>
        <w:ind w:firstLine="0" w:left="426"/>
        <w:rPr>
          <w:sz w:val="20"/>
          <w:lang w:val="pt-BR"/>
        </w:rPr>
      </w:pPr>
      <w:r>
        <w:rPr>
          <w:b/>
          <w:sz w:val="20"/>
          <w:lang w:val="pt-BR" w:eastAsia="pt-BR"/>
        </w:rPr>
        <w:t xml:space="preserve">13.5.6.</w:t>
      </w:r>
      <w:r>
        <w:rPr>
          <w:sz w:val="20"/>
          <w:lang w:val="pt-BR" w:eastAsia="pt-BR"/>
        </w:rPr>
        <w:t xml:space="preserve"> Ce</w:t>
      </w:r>
      <w:r>
        <w:rPr>
          <w:sz w:val="20"/>
          <w:lang w:val="pt-BR" w:eastAsia="pt-BR"/>
        </w:rPr>
        <w:t xml:space="preserve">rtificado de Regularidade de Situação para com o Fundo de Garantia de Tempo de Serviço (CRF/FGTS), emitida pela Caixa Econômica Federal;</w:t>
      </w:r>
      <w:r>
        <w:rPr>
          <w:sz w:val="20"/>
          <w:lang w:val="pt-BR"/>
        </w:rPr>
      </w:r>
      <w:r>
        <w:rPr>
          <w:sz w:val="20"/>
          <w:lang w:val="pt-BR"/>
        </w:rPr>
      </w:r>
    </w:p>
    <w:p>
      <w:pPr>
        <w:pStyle w:val="828"/>
        <w:pBdr/>
        <w:spacing/>
        <w:ind w:left="284"/>
        <w:jc w:val="both"/>
        <w:rPr>
          <w:rFonts w:ascii="Arial" w:hAnsi="Arial" w:cs="Arial"/>
          <w:b/>
          <w:lang w:eastAsia="pt-BR"/>
        </w:rPr>
      </w:pPr>
      <w:r>
        <w:rPr>
          <w:rFonts w:ascii="Arial" w:hAnsi="Arial" w:cs="Arial"/>
          <w:b/>
          <w:lang w:eastAsia="pt-BR"/>
        </w:rPr>
      </w:r>
      <w:r>
        <w:rPr>
          <w:rFonts w:ascii="Arial" w:hAnsi="Arial" w:cs="Arial"/>
          <w:b/>
          <w:lang w:eastAsia="pt-BR"/>
        </w:rPr>
      </w:r>
    </w:p>
    <w:p>
      <w:pPr>
        <w:pStyle w:val="970"/>
        <w:pBdr/>
        <w:spacing/>
        <w:ind w:firstLine="0" w:left="426"/>
        <w:rPr>
          <w:sz w:val="20"/>
          <w:lang w:val="pt-BR"/>
        </w:rPr>
      </w:pPr>
      <w:r>
        <w:rPr>
          <w:b/>
          <w:sz w:val="20"/>
          <w:lang w:val="pt-BR" w:eastAsia="pt-BR"/>
        </w:rPr>
        <w:t xml:space="preserve">13.5.7.</w:t>
      </w:r>
      <w:r>
        <w:rPr>
          <w:sz w:val="20"/>
          <w:lang w:val="pt-BR" w:eastAsia="pt-BR"/>
        </w:rPr>
        <w:t xml:space="preserve"> Certidão Negativa de Debito Trabalhista (CNDT), perante a Justiça do Trabalho, redação dada pela Lei nº 12.440/2011. (Obtida através do site: </w:t>
      </w:r>
      <w:r>
        <w:rPr>
          <w:sz w:val="20"/>
        </w:rPr>
        <w:fldChar w:fldCharType="begin"/>
      </w:r>
      <w:r>
        <w:rPr>
          <w:sz w:val="20"/>
          <w:lang w:val="pt-BR"/>
        </w:rPr>
        <w:instrText xml:space="preserve"> HYPERLINK "http://www.tst.jus.br/"</w:instrText>
      </w:r>
      <w:r>
        <w:rPr>
          <w:sz w:val="20"/>
        </w:rPr>
        <w:fldChar w:fldCharType="separate"/>
      </w:r>
      <w:r>
        <w:rPr>
          <w:rStyle w:val="900"/>
          <w:sz w:val="20"/>
          <w:lang w:val="pt-BR" w:eastAsia="pt-BR"/>
        </w:rPr>
        <w:t xml:space="preserve">www.tst.jus.br</w:t>
      </w:r>
      <w:r>
        <w:rPr>
          <w:sz w:val="20"/>
        </w:rPr>
        <w:fldChar w:fldCharType="end"/>
      </w:r>
      <w:r>
        <w:rPr>
          <w:sz w:val="20"/>
          <w:lang w:val="pt-BR" w:eastAsia="pt-BR"/>
        </w:rPr>
        <w:t xml:space="preserve">).</w:t>
      </w:r>
      <w:r>
        <w:rPr>
          <w:sz w:val="20"/>
          <w:lang w:val="pt-BR"/>
        </w:rPr>
      </w:r>
      <w:r>
        <w:rPr>
          <w:sz w:val="20"/>
          <w:lang w:val="pt-BR"/>
        </w:rPr>
      </w:r>
    </w:p>
    <w:p>
      <w:pPr>
        <w:pStyle w:val="828"/>
        <w:pBdr/>
        <w:spacing/>
        <w:ind w:left="284"/>
        <w:jc w:val="both"/>
        <w:rPr>
          <w:rFonts w:ascii="Arial" w:hAnsi="Arial" w:cs="Arial"/>
          <w:b/>
          <w:lang w:eastAsia="pt-BR"/>
        </w:rPr>
      </w:pPr>
      <w:r>
        <w:rPr>
          <w:rFonts w:ascii="Arial" w:hAnsi="Arial" w:cs="Arial"/>
          <w:b/>
          <w:lang w:eastAsia="pt-BR"/>
        </w:rPr>
      </w:r>
      <w:r>
        <w:rPr>
          <w:rFonts w:ascii="Arial" w:hAnsi="Arial" w:cs="Arial"/>
          <w:b/>
          <w:lang w:eastAsia="pt-BR"/>
        </w:rPr>
      </w:r>
    </w:p>
    <w:p>
      <w:pPr>
        <w:pStyle w:val="828"/>
        <w:pBdr/>
        <w:spacing/>
        <w:ind w:left="284"/>
        <w:jc w:val="both"/>
        <w:rPr>
          <w:rFonts w:ascii="Arial" w:hAnsi="Arial" w:cs="Arial"/>
        </w:rPr>
      </w:pPr>
      <w:r>
        <w:rPr>
          <w:rFonts w:ascii="Arial" w:hAnsi="Arial" w:cs="Arial"/>
          <w:b/>
        </w:rPr>
        <w:t xml:space="preserve">Observação:</w:t>
      </w:r>
      <w:r>
        <w:rPr>
          <w:rFonts w:ascii="Arial" w:hAnsi="Arial" w:cs="Arial"/>
        </w:rPr>
        <w:t xml:space="preserve"> As microempresas, empresas de pequeno porte, </w:t>
      </w:r>
      <w:r>
        <w:rPr>
          <w:rFonts w:ascii="Arial" w:hAnsi="Arial" w:cs="Arial"/>
          <w:color w:val="000000"/>
        </w:rPr>
        <w:t xml:space="preserve">e as sociedades cooperativas,</w:t>
      </w:r>
      <w:r>
        <w:rPr>
          <w:rFonts w:ascii="Arial" w:hAnsi="Arial" w:cs="Arial"/>
        </w:rPr>
        <w:t xml:space="preserve"> deverão apresentar toda a documentação exigida para efeito de comprovação de reg</w:t>
      </w:r>
      <w:r>
        <w:rPr>
          <w:rFonts w:ascii="Arial" w:hAnsi="Arial" w:cs="Arial"/>
        </w:rPr>
        <w:t xml:space="preserve">ularidade fiscal</w:t>
      </w:r>
      <w:r>
        <w:rPr>
          <w:rFonts w:ascii="Arial" w:hAnsi="Arial" w:cs="Arial"/>
          <w:color w:val="ff0000"/>
        </w:rPr>
        <w:t xml:space="preserve"> </w:t>
      </w:r>
      <w:r>
        <w:rPr>
          <w:rFonts w:ascii="Arial" w:hAnsi="Arial" w:cs="Arial"/>
        </w:rPr>
        <w:t xml:space="preserve">e trabalhista, mesmo que está apresente alguma restrição.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a) </w:t>
      </w:r>
      <w:r>
        <w:rPr>
          <w:rFonts w:ascii="Arial" w:hAnsi="Arial" w:cs="Arial"/>
        </w:rPr>
        <w:t xml:space="preserve">Havendo alguma restrição na comprovação da regularidade fiscal e trabalhista, será assegurado o prazo de 5 (cinco) dias úteis, cujo termo inicial corresponderá ao momento em qu</w:t>
      </w:r>
      <w:r>
        <w:rPr>
          <w:rFonts w:ascii="Arial" w:hAnsi="Arial" w:cs="Arial"/>
        </w:rPr>
        <w:t xml:space="preserve">e o proponente for declarado o vencedor do certame, prorrogável por igual período, a critério da administração pública, para a regularização da documentação, pagamento ou parcelamento do débito e emissão de eventuais certidões negativas ou positivas com ef</w:t>
      </w:r>
      <w:r>
        <w:rPr>
          <w:rFonts w:ascii="Arial" w:hAnsi="Arial" w:cs="Arial"/>
        </w:rPr>
        <w:t xml:space="preserve">eito de certidão negativa. (Art. 43, §1º LC 123/2006).</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color w:val="000000"/>
        </w:rPr>
        <w:t xml:space="preserve">b)</w:t>
      </w:r>
      <w:r>
        <w:rPr>
          <w:rFonts w:ascii="Arial" w:hAnsi="Arial" w:cs="Arial"/>
          <w:color w:val="000000"/>
        </w:rPr>
        <w:t xml:space="preserve"> A prorrogação do prazo prevista na alínea “a”, poderá ser concedida, a critério da administração pública, quando requerida pelo licitante, mediante apresentação de justificativa.</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979"/>
        <w:pBdr/>
        <w:spacing/>
        <w:ind w:left="284"/>
        <w:jc w:val="both"/>
        <w:rPr>
          <w:sz w:val="20"/>
          <w:szCs w:val="20"/>
        </w:rPr>
      </w:pPr>
      <w:r>
        <w:rPr>
          <w:b/>
          <w:sz w:val="20"/>
          <w:szCs w:val="20"/>
        </w:rPr>
        <w:t xml:space="preserve">c)</w:t>
      </w:r>
      <w:r>
        <w:rPr>
          <w:sz w:val="20"/>
          <w:szCs w:val="20"/>
        </w:rPr>
        <w:t xml:space="preserve"> A não regulari</w:t>
      </w:r>
      <w:r>
        <w:rPr>
          <w:sz w:val="20"/>
          <w:szCs w:val="20"/>
        </w:rPr>
        <w:t xml:space="preserve">zação da documentação no prazo previsto na alínea “a”, implicará na decadência do direito à contratação, sem prejuízo das sanções previstas em Lei, sendo facultado à Administração convocar para nova sessão pública os licitantes remanescentes, na ordem de c</w:t>
      </w:r>
      <w:r>
        <w:rPr>
          <w:sz w:val="20"/>
          <w:szCs w:val="20"/>
        </w:rPr>
        <w:t xml:space="preserve">lassificação, para contratação, ou revogar a licitação. </w:t>
      </w:r>
      <w:r>
        <w:rPr>
          <w:sz w:val="20"/>
          <w:szCs w:val="20"/>
        </w:rPr>
      </w:r>
    </w:p>
    <w:p>
      <w:pPr>
        <w:pStyle w:val="979"/>
        <w:pBdr/>
        <w:spacing/>
        <w:ind/>
        <w:jc w:val="both"/>
        <w:rPr>
          <w:color w:val="000000"/>
          <w:sz w:val="20"/>
          <w:szCs w:val="20"/>
        </w:rPr>
      </w:pPr>
      <w:r>
        <w:rPr>
          <w:color w:val="000000"/>
          <w:sz w:val="20"/>
          <w:szCs w:val="20"/>
        </w:rPr>
      </w:r>
      <w:r>
        <w:rPr>
          <w:color w:val="000000"/>
          <w:sz w:val="20"/>
          <w:szCs w:val="20"/>
        </w:rPr>
      </w:r>
    </w:p>
    <w:p>
      <w:pPr>
        <w:pStyle w:val="828"/>
        <w:pBdr/>
        <w:spacing/>
        <w:ind/>
        <w:jc w:val="both"/>
        <w:rPr>
          <w:rFonts w:ascii="Arial" w:hAnsi="Arial" w:cs="Arial"/>
        </w:rPr>
      </w:pPr>
      <w:r>
        <w:rPr>
          <w:rFonts w:ascii="Arial" w:hAnsi="Arial" w:cs="Arial"/>
          <w:b/>
          <w:bCs/>
          <w:color w:val="000000"/>
        </w:rPr>
        <w:t xml:space="preserve">13.8</w:t>
      </w:r>
      <w:r>
        <w:rPr>
          <w:rFonts w:ascii="Arial" w:hAnsi="Arial" w:cs="Arial"/>
          <w:b/>
          <w:bCs/>
          <w:color w:val="000000"/>
        </w:rPr>
        <w:t xml:space="preserve"> DAS COMPROVAÇÕES COMPLEMENTARES ESPECIAIS:</w:t>
      </w:r>
      <w:r>
        <w:rPr>
          <w:rFonts w:ascii="Arial" w:hAnsi="Arial" w:cs="Arial"/>
        </w:rPr>
      </w:r>
      <w:r>
        <w:rPr>
          <w:rFonts w:ascii="Arial" w:hAnsi="Arial" w:cs="Arial"/>
        </w:rPr>
      </w:r>
    </w:p>
    <w:p>
      <w:pPr>
        <w:pStyle w:val="828"/>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p>
    <w:p>
      <w:pPr>
        <w:pStyle w:val="828"/>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 O LICITANTE DEVERÁ DECLARAR, QUE:</w:t>
      </w:r>
      <w:r>
        <w:rPr>
          <w:rFonts w:ascii="Arial" w:hAnsi="Arial" w:cs="Arial"/>
        </w:rPr>
      </w:r>
      <w:r>
        <w:rPr>
          <w:rFonts w:ascii="Arial" w:hAnsi="Arial" w:cs="Arial"/>
        </w:rPr>
      </w:r>
    </w:p>
    <w:p>
      <w:pPr>
        <w:pStyle w:val="828"/>
        <w:pBdr/>
        <w:spacing/>
        <w:ind w:left="284"/>
        <w:jc w:val="both"/>
        <w:rPr>
          <w:rFonts w:ascii="Arial" w:hAnsi="Arial" w:cs="Arial"/>
          <w:b/>
          <w:color w:val="000000"/>
          <w:u w:val="single"/>
        </w:rPr>
      </w:pPr>
      <w:r>
        <w:rPr>
          <w:rFonts w:ascii="Arial" w:hAnsi="Arial" w:cs="Arial"/>
          <w:b/>
          <w:color w:val="000000"/>
          <w:u w:val="single"/>
        </w:rPr>
      </w:r>
      <w:r>
        <w:rPr>
          <w:rFonts w:ascii="Arial" w:hAnsi="Arial" w:cs="Arial"/>
          <w:b/>
          <w:color w:val="000000"/>
          <w:u w:val="single"/>
        </w:rPr>
      </w:r>
    </w:p>
    <w:p>
      <w:pPr>
        <w:pStyle w:val="828"/>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.1.1.</w:t>
      </w:r>
      <w:r>
        <w:rPr>
          <w:rFonts w:ascii="Arial" w:hAnsi="Arial" w:cs="Arial"/>
          <w:color w:val="000000"/>
        </w:rPr>
        <w:t xml:space="preserve"> Está ciente e concorda com as condições contidas no edital e seus anexos, bem como de que a prop</w:t>
      </w:r>
      <w:r>
        <w:rPr>
          <w:rFonts w:ascii="Arial" w:hAnsi="Arial" w:cs="Arial"/>
          <w:color w:val="000000"/>
        </w:rPr>
        <w:t xml:space="preserve">osta apresentada compreende a integralidade dos custos para atendimento dos direitos trabalhistas assegurados na Constituição Federal, nas leis trabalhistas, nas normas infra legais, nas convenções coletivas de trabalho e nos termos de ajustamento de condu</w:t>
      </w:r>
      <w:r>
        <w:rPr>
          <w:rFonts w:ascii="Arial" w:hAnsi="Arial" w:cs="Arial"/>
          <w:color w:val="000000"/>
        </w:rPr>
        <w:t xml:space="preserve">ta vigentes na data de sua entrega em definitivo e que cumpre plenamente os requisitos de habilitação definidos no instrumento convocatório;</w:t>
      </w:r>
      <w:r>
        <w:rPr>
          <w:rFonts w:ascii="Arial" w:hAnsi="Arial" w:cs="Arial"/>
        </w:rPr>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.1.2.</w:t>
      </w:r>
      <w:r>
        <w:rPr>
          <w:rFonts w:ascii="Arial" w:hAnsi="Arial" w:cs="Arial"/>
          <w:color w:val="000000"/>
        </w:rPr>
        <w:t xml:space="preserve"> Não emprega menor de 18 anos em trabalho noturno, perigoso ou insalubre e não emprega menor de 16 anos, em qualquer trabalho, salvo menor, a partir de 14 anos, na condição de aprendiz, nos termos do </w:t>
      </w:r>
      <w:r>
        <w:rPr>
          <w:rFonts w:ascii="Arial" w:hAnsi="Arial" w:cs="Arial"/>
        </w:rPr>
        <w:fldChar w:fldCharType="begin"/>
      </w:r>
      <w:r>
        <w:rPr>
          <w:rFonts w:ascii="Arial" w:hAnsi="Arial" w:cs="Arial"/>
        </w:rPr>
        <w:instrText xml:space="preserve"> HYPERLINK "https://www.planalto.gov.br/ccivil_03/constituicao/constituicaocompilado.htm" \l "art7"</w:instrText>
      </w:r>
      <w:r>
        <w:rPr>
          <w:rFonts w:ascii="Arial" w:hAnsi="Arial" w:cs="Arial"/>
        </w:rPr>
        <w:fldChar w:fldCharType="separate"/>
      </w:r>
      <w:r>
        <w:rPr>
          <w:rStyle w:val="900"/>
          <w:rFonts w:ascii="Arial" w:hAnsi="Arial" w:cs="Arial"/>
          <w:color w:val="000000"/>
        </w:rPr>
        <w:t xml:space="preserve">artigo 7°, XXXIII da Constituição</w:t>
      </w:r>
      <w:r>
        <w:rPr>
          <w:rFonts w:ascii="Arial" w:hAnsi="Arial" w:cs="Arial"/>
        </w:rPr>
        <w:fldChar w:fldCharType="end"/>
      </w:r>
      <w:r>
        <w:rPr>
          <w:rFonts w:ascii="Arial" w:hAnsi="Arial" w:cs="Arial"/>
          <w:color w:val="000000"/>
        </w:rPr>
        <w:t xml:space="preserve"> Federal, </w:t>
      </w:r>
      <w:r>
        <w:rPr>
          <w:rFonts w:ascii="Arial" w:hAnsi="Arial" w:cs="Arial"/>
        </w:rPr>
        <w:t xml:space="preserve">bem como, no </w:t>
      </w:r>
      <w:r>
        <w:rPr>
          <w:rFonts w:ascii="Arial" w:hAnsi="Arial" w:cs="Arial"/>
          <w:color w:val="000000"/>
        </w:rPr>
        <w:t xml:space="preserve">ar</w:t>
      </w:r>
      <w:r>
        <w:rPr>
          <w:rFonts w:ascii="Arial" w:hAnsi="Arial" w:cs="Arial"/>
          <w:color w:val="000000"/>
        </w:rPr>
        <w:t xml:space="preserve">tigo 68, inciso VI, da Lei nº 14.133/2021;</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.1.3.</w:t>
      </w:r>
      <w:r>
        <w:rPr>
          <w:rFonts w:ascii="Arial" w:hAnsi="Arial" w:cs="Arial"/>
          <w:color w:val="000000"/>
        </w:rPr>
        <w:t xml:space="preserve"> Não possui empregados executando trabalho degradante ou forçado, observando o disposto nos </w:t>
      </w:r>
      <w:r>
        <w:rPr>
          <w:rFonts w:ascii="Arial" w:hAnsi="Arial" w:cs="Arial"/>
        </w:rPr>
        <w:fldChar w:fldCharType="begin"/>
      </w:r>
      <w:r>
        <w:rPr>
          <w:rFonts w:ascii="Arial" w:hAnsi="Arial" w:cs="Arial"/>
        </w:rPr>
        <w:instrText xml:space="preserve"> HYPERLINK "https://www.planalto.gov.br/ccivil_03/constituicao/constituicaocompilado.htm"</w:instrText>
      </w:r>
      <w:r>
        <w:rPr>
          <w:rFonts w:ascii="Arial" w:hAnsi="Arial" w:cs="Arial"/>
        </w:rPr>
        <w:fldChar w:fldCharType="separate"/>
      </w:r>
      <w:r>
        <w:rPr>
          <w:rStyle w:val="900"/>
          <w:rFonts w:ascii="Arial" w:hAnsi="Arial" w:cs="Arial"/>
          <w:color w:val="000000"/>
          <w:u w:val="none"/>
        </w:rPr>
        <w:t xml:space="preserve">incisos III e IV do art. 1º e no inciso III do art. 5º da Constituição Federal</w:t>
      </w:r>
      <w:r>
        <w:rPr>
          <w:rFonts w:ascii="Arial" w:hAnsi="Arial" w:cs="Arial"/>
        </w:rPr>
        <w:fldChar w:fldCharType="end"/>
      </w:r>
      <w:r>
        <w:rPr>
          <w:rStyle w:val="900"/>
          <w:rFonts w:ascii="Arial" w:hAnsi="Arial" w:cs="Arial"/>
          <w:color w:val="000000"/>
          <w:u w:val="none"/>
        </w:rPr>
        <w:t xml:space="preserve">, </w:t>
      </w:r>
      <w:r>
        <w:rPr>
          <w:rFonts w:ascii="Arial" w:hAnsi="Arial" w:cs="Arial"/>
        </w:rPr>
        <w:t xml:space="preserve">bem como no art. 14, inciso VI da Lei nº 14.133/2021.</w:t>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.1.4.</w:t>
      </w:r>
      <w:r>
        <w:rPr>
          <w:rFonts w:ascii="Arial" w:hAnsi="Arial" w:cs="Arial"/>
          <w:color w:val="000000"/>
        </w:rPr>
        <w:t xml:space="preserve"> Cumpre as exigências de reserva de cargos para pessoa com deficiência e para reabilitado da Previdência Social, previstas em lei </w:t>
      </w:r>
      <w:r>
        <w:rPr>
          <w:rFonts w:ascii="Arial" w:hAnsi="Arial" w:cs="Arial"/>
          <w:color w:val="000000"/>
        </w:rPr>
        <w:t xml:space="preserve">e em outras normas específicas;</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.1.5.</w:t>
      </w:r>
      <w:r>
        <w:rPr>
          <w:rFonts w:ascii="Arial" w:hAnsi="Arial" w:cs="Arial"/>
          <w:color w:val="000000"/>
        </w:rPr>
        <w:t xml:space="preserve"> N</w:t>
      </w:r>
      <w:r>
        <w:rPr>
          <w:rFonts w:ascii="Arial" w:hAnsi="Arial" w:cs="Arial"/>
        </w:rPr>
        <w:t xml:space="preserve">ão possui em seu quadro de pessoal e societário, servidor público do Pode</w:t>
      </w:r>
      <w:r>
        <w:rPr>
          <w:rFonts w:ascii="Arial" w:hAnsi="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b/>
          <w:color w:val="000000"/>
        </w:rPr>
      </w:pPr>
      <w:r>
        <w:rPr>
          <w:rFonts w:ascii="Arial" w:hAnsi="Arial" w:cs="Arial"/>
          <w:b/>
        </w:rPr>
        <w:t xml:space="preserve">13.8</w:t>
      </w:r>
      <w:r>
        <w:rPr>
          <w:rFonts w:ascii="Arial" w:hAnsi="Arial" w:cs="Arial"/>
          <w:b/>
        </w:rPr>
        <w:t xml:space="preserve">.1.6.</w:t>
      </w:r>
      <w:r>
        <w:rPr>
          <w:rFonts w:ascii="Arial" w:hAnsi="Arial" w:cs="Arial"/>
        </w:rPr>
        <w:t xml:space="preserve"> O licitante enquadrado como microempresa, empresa de pequeno porte ou sociedade cooperativa deverá</w:t>
      </w:r>
      <w:r>
        <w:rPr>
          <w:rFonts w:ascii="Arial" w:hAnsi="Arial" w:cs="Arial"/>
          <w:color w:val="000000"/>
        </w:rPr>
        <w:t xml:space="preserve"> declarar, que cumpre os requ</w:t>
      </w:r>
      <w:r>
        <w:rPr>
          <w:rFonts w:ascii="Arial" w:hAnsi="Arial" w:cs="Arial"/>
          <w:color w:val="000000"/>
        </w:rPr>
        <w:t xml:space="preserve">isitos estabelecidos no </w:t>
      </w:r>
      <w:r>
        <w:rPr>
          <w:rFonts w:ascii="Arial" w:hAnsi="Arial" w:cs="Arial"/>
        </w:rPr>
        <w:fldChar w:fldCharType="begin"/>
      </w:r>
      <w:r>
        <w:rPr>
          <w:rFonts w:ascii="Arial" w:hAnsi="Arial" w:cs="Arial"/>
        </w:rPr>
        <w:instrText xml:space="preserve"> HYPERLINK "https://www.planalto.gov.br/ccivil_03/leis/lcp/lcp123.htm" \l "art3"</w:instrText>
      </w:r>
      <w:r>
        <w:rPr>
          <w:rFonts w:ascii="Arial" w:hAnsi="Arial" w:cs="Arial"/>
        </w:rPr>
        <w:fldChar w:fldCharType="separate"/>
      </w:r>
      <w:r>
        <w:rPr>
          <w:rStyle w:val="900"/>
          <w:rFonts w:ascii="Arial" w:hAnsi="Arial" w:cs="Arial"/>
          <w:color w:val="000000"/>
        </w:rPr>
        <w:t xml:space="preserve">artigo 3° da Lei Complementar nº 123, de 2006</w:t>
      </w:r>
      <w:r>
        <w:rPr>
          <w:rFonts w:ascii="Arial" w:hAnsi="Arial" w:cs="Arial"/>
        </w:rPr>
        <w:fldChar w:fldCharType="end"/>
      </w:r>
      <w:r>
        <w:rPr>
          <w:rFonts w:ascii="Arial" w:hAnsi="Arial" w:cs="Arial"/>
          <w:color w:val="000000"/>
        </w:rPr>
        <w:t xml:space="preserve">, estando apto a usufruir do tratamento favorecido estabelecido em seus </w:t>
      </w:r>
      <w:r>
        <w:rPr>
          <w:rFonts w:ascii="Arial" w:hAnsi="Arial" w:cs="Arial"/>
        </w:rPr>
        <w:fldChar w:fldCharType="begin"/>
      </w:r>
      <w:r>
        <w:rPr>
          <w:rFonts w:ascii="Arial" w:hAnsi="Arial" w:cs="Arial"/>
        </w:rPr>
        <w:instrText xml:space="preserve"> HYPERLINK "https://www.planalto.gov.br/ccivil_03/leis/lcp/lcp123.htm" \l "art42"</w:instrText>
      </w:r>
      <w:r>
        <w:rPr>
          <w:rFonts w:ascii="Arial" w:hAnsi="Arial" w:cs="Arial"/>
        </w:rPr>
        <w:fldChar w:fldCharType="separate"/>
      </w:r>
      <w:r>
        <w:rPr>
          <w:rStyle w:val="900"/>
          <w:rFonts w:ascii="Arial" w:hAnsi="Arial" w:cs="Arial"/>
          <w:color w:val="000000"/>
        </w:rPr>
        <w:t xml:space="preserve">arts. 42 a 49</w:t>
      </w:r>
      <w:r>
        <w:rPr>
          <w:rFonts w:ascii="Arial" w:hAnsi="Arial" w:cs="Arial"/>
        </w:rPr>
        <w:fldChar w:fldCharType="end"/>
      </w:r>
      <w:r>
        <w:rPr>
          <w:rFonts w:ascii="Arial" w:hAnsi="Arial" w:cs="Arial"/>
          <w:color w:val="000000"/>
        </w:rPr>
        <w:t xml:space="preserve">, observado o disposto nos </w:t>
      </w:r>
      <w:r>
        <w:rPr>
          <w:rFonts w:ascii="Arial" w:hAnsi="Arial" w:cs="Arial"/>
        </w:rPr>
        <w:fldChar w:fldCharType="begin"/>
      </w:r>
      <w:r>
        <w:rPr>
          <w:rFonts w:ascii="Arial" w:hAnsi="Arial" w:cs="Arial"/>
        </w:rPr>
        <w:instrText xml:space="preserve"> HYPERLINK "http://www.planalto.gov.br/ccivil_03/_ato2019-2022/2021/lei/L14133.htm" \l "art4§1"</w:instrText>
      </w:r>
      <w:r>
        <w:rPr>
          <w:rFonts w:ascii="Arial" w:hAnsi="Arial" w:cs="Arial"/>
        </w:rPr>
        <w:fldChar w:fldCharType="separate"/>
      </w:r>
      <w:r>
        <w:rPr>
          <w:rStyle w:val="900"/>
          <w:rFonts w:ascii="Arial" w:hAnsi="Arial" w:cs="Arial"/>
          <w:color w:val="000000"/>
        </w:rPr>
        <w:t xml:space="preserve">§§ 1º ao 3º do art. 4º, da Lei n.º 14.133, de 2021;</w:t>
      </w:r>
      <w:r>
        <w:rPr>
          <w:rFonts w:ascii="Arial" w:hAnsi="Arial" w:cs="Arial"/>
        </w:rPr>
        <w:fldChar w:fldCharType="end"/>
      </w:r>
      <w:r>
        <w:rPr>
          <w:rFonts w:ascii="Arial" w:hAnsi="Arial" w:cs="Arial"/>
          <w:b/>
          <w:color w:val="000000"/>
        </w:rPr>
      </w:r>
      <w:r>
        <w:rPr>
          <w:rFonts w:ascii="Arial" w:hAnsi="Arial" w:cs="Arial"/>
          <w:b/>
          <w:color w:val="000000"/>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.1.7.</w:t>
      </w:r>
      <w:r>
        <w:rPr>
          <w:rFonts w:ascii="Arial" w:hAnsi="Arial" w:cs="Arial"/>
          <w:color w:val="000000"/>
        </w:rPr>
        <w:t xml:space="preserve"> </w:t>
      </w:r>
      <w:r>
        <w:rPr>
          <w:rFonts w:ascii="Arial" w:hAnsi="Arial" w:cs="Arial"/>
          <w:color w:val="000000"/>
        </w:rPr>
        <w:t xml:space="preserve">O licitante organizado em cooperativa deverá declarar, ainda que, cumpre os requisitos estabelecidos no </w:t>
      </w:r>
      <w:r>
        <w:rPr>
          <w:rFonts w:ascii="Arial" w:hAnsi="Arial" w:cs="Arial"/>
        </w:rPr>
        <w:fldChar w:fldCharType="begin"/>
      </w:r>
      <w:r>
        <w:rPr>
          <w:rFonts w:ascii="Arial" w:hAnsi="Arial" w:cs="Arial"/>
        </w:rPr>
        <w:instrText xml:space="preserve"> HYPERLINK "http://www.planalto.gov.br/ccivil_03/_ato2019-2022/2021/lei/L14133.htm" \l "art16"</w:instrText>
      </w:r>
      <w:r>
        <w:rPr>
          <w:rFonts w:ascii="Arial" w:hAnsi="Arial" w:cs="Arial"/>
        </w:rPr>
        <w:fldChar w:fldCharType="separate"/>
      </w:r>
      <w:r>
        <w:rPr>
          <w:rStyle w:val="900"/>
          <w:rFonts w:ascii="Arial" w:hAnsi="Arial" w:cs="Arial"/>
          <w:color w:val="000000"/>
        </w:rPr>
        <w:t xml:space="preserve">artigo 16 da Lei nº 14.133, de 2021</w:t>
      </w:r>
      <w:r>
        <w:rPr>
          <w:rFonts w:ascii="Arial" w:hAnsi="Arial" w:cs="Arial"/>
        </w:rPr>
        <w:fldChar w:fldCharType="end"/>
      </w:r>
      <w:r>
        <w:rPr>
          <w:rFonts w:ascii="Arial" w:hAnsi="Arial" w:cs="Arial"/>
          <w:color w:val="000000"/>
        </w:rPr>
        <w:t xml:space="preserve">;</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.1.8. </w:t>
      </w:r>
      <w:r>
        <w:rPr>
          <w:rFonts w:ascii="Arial" w:hAnsi="Arial" w:cs="Arial"/>
          <w:color w:val="000000"/>
        </w:rPr>
        <w:t xml:space="preserve">Que não há sanções vigentes que legalmente proíbam a participante de licitar e/ou contratar com o Órgão/Entidade contratante;</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.1.9.</w:t>
      </w:r>
      <w:r>
        <w:rPr>
          <w:rFonts w:ascii="Arial" w:hAnsi="Arial" w:cs="Arial"/>
          <w:color w:val="000000"/>
        </w:rPr>
        <w:t xml:space="preserve"> O declarante </w:t>
      </w:r>
      <w:r>
        <w:rPr>
          <w:rFonts w:ascii="Arial" w:hAnsi="Arial" w:cs="Arial"/>
        </w:rPr>
        <w:t xml:space="preserve">responderá</w:t>
      </w:r>
      <w:r>
        <w:rPr>
          <w:rFonts w:ascii="Arial" w:hAnsi="Arial" w:cs="Arial"/>
          <w:color w:val="000000"/>
        </w:rPr>
        <w:t xml:space="preserve"> pela </w:t>
      </w:r>
      <w:r>
        <w:rPr>
          <w:rFonts w:ascii="Arial" w:hAnsi="Arial" w:cs="Arial"/>
        </w:rPr>
        <w:t xml:space="preserve">veracidade</w:t>
      </w:r>
      <w:r>
        <w:rPr>
          <w:rFonts w:ascii="Arial" w:hAnsi="Arial" w:cs="Arial"/>
          <w:color w:val="000000"/>
        </w:rPr>
        <w:t xml:space="preserve"> das informações prestadas, sujeitando-se às sanções previstas na forma da lei, e nest</w:t>
      </w:r>
      <w:r>
        <w:rPr>
          <w:rFonts w:ascii="Arial" w:hAnsi="Arial" w:cs="Arial"/>
          <w:color w:val="000000"/>
        </w:rPr>
        <w:t xml:space="preserve">e Edital.</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851"/>
        <w:jc w:val="both"/>
        <w:rPr>
          <w:rFonts w:ascii="Arial" w:hAnsi="Arial" w:cs="Arial"/>
        </w:rPr>
      </w:pPr>
      <w:r>
        <w:rPr>
          <w:rFonts w:ascii="Arial" w:hAnsi="Arial" w:cs="Arial"/>
          <w:b/>
          <w:color w:val="000000"/>
        </w:rPr>
        <w:t xml:space="preserve">NOTA: </w:t>
      </w:r>
      <w:r>
        <w:rPr>
          <w:rFonts w:ascii="Arial" w:hAnsi="Arial" w:cs="Arial"/>
        </w:rPr>
        <w:t xml:space="preserve">AS COMPROVAÇÕES</w:t>
      </w:r>
      <w:r>
        <w:rPr>
          <w:rFonts w:ascii="Arial" w:hAnsi="Arial" w:cs="Arial"/>
          <w:b/>
          <w:color w:val="000000"/>
          <w:u w:val="single"/>
        </w:rPr>
        <w:t xml:space="preserve"> CONTIDAS NO ITEM 13.8</w:t>
      </w:r>
      <w:r>
        <w:rPr>
          <w:rFonts w:ascii="Arial" w:hAnsi="Arial" w:cs="Arial"/>
          <w:b/>
          <w:color w:val="000000"/>
          <w:u w:val="single"/>
        </w:rPr>
        <w:t xml:space="preserve">. A CRITÉRIO DO LICITANTE PODERÃO SEREM APRESENTADAS EM UMA ÚNICA FOLHA, CONFORME MODELO SUGERIDO NO ANEXO V</w:t>
      </w:r>
      <w:r>
        <w:rPr>
          <w:rFonts w:ascii="Arial" w:hAnsi="Arial" w:cs="Arial"/>
          <w:b/>
          <w:color w:val="000000"/>
        </w:rPr>
        <w:t xml:space="preserve">.</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rPr>
      </w:pPr>
      <w:r>
        <w:rPr>
          <w:rFonts w:ascii="Arial" w:hAnsi="Arial" w:cs="Arial"/>
          <w:b/>
        </w:rPr>
        <w:t xml:space="preserve">13.9</w:t>
      </w:r>
      <w:r>
        <w:rPr>
          <w:rFonts w:ascii="Arial" w:hAnsi="Arial" w:cs="Arial"/>
          <w:b/>
        </w:rPr>
        <w:t xml:space="preserve">. DA REALIZAÇÃO DE CONSULTA EM NOME DA LICITANTE E TAMBÉM DE EVENTUAL MATRIZ OU FILIAL E DE SEUS SÓCIOS JUNTO AO:</w:t>
      </w:r>
      <w:r>
        <w:rPr>
          <w:rFonts w:ascii="Arial" w:hAnsi="Arial" w:cs="Arial"/>
        </w:rPr>
      </w:r>
      <w:r>
        <w:rPr>
          <w:rFonts w:ascii="Arial" w:hAnsi="Arial" w:cs="Arial"/>
        </w:rPr>
      </w:r>
    </w:p>
    <w:p>
      <w:pPr>
        <w:pStyle w:val="828"/>
        <w:pBdr/>
        <w:spacing/>
        <w:ind w:left="426"/>
        <w:jc w:val="both"/>
        <w:rPr>
          <w:rFonts w:ascii="Arial" w:hAnsi="Arial" w:cs="Arial"/>
          <w:b/>
        </w:rPr>
      </w:pPr>
      <w:r>
        <w:rPr>
          <w:rFonts w:ascii="Arial" w:hAnsi="Arial" w:cs="Arial"/>
          <w:b/>
        </w:rPr>
      </w:r>
      <w:r>
        <w:rPr>
          <w:rFonts w:ascii="Arial" w:hAnsi="Arial" w:cs="Arial"/>
          <w:b/>
        </w:rPr>
      </w:r>
    </w:p>
    <w:p>
      <w:pPr>
        <w:pStyle w:val="828"/>
        <w:pBdr/>
        <w:spacing/>
        <w:ind w:left="426"/>
        <w:jc w:val="both"/>
        <w:rPr>
          <w:rFonts w:ascii="Arial" w:hAnsi="Arial" w:cs="Arial"/>
        </w:rPr>
      </w:pPr>
      <w:r>
        <w:rPr>
          <w:rFonts w:ascii="Arial" w:hAnsi="Arial" w:cs="Arial"/>
          <w:b/>
        </w:rPr>
        <w:t xml:space="preserve">13.9</w:t>
      </w:r>
      <w:r>
        <w:rPr>
          <w:rFonts w:ascii="Arial" w:hAnsi="Arial" w:cs="Arial"/>
          <w:b/>
        </w:rPr>
        <w:t xml:space="preserve">.1.</w:t>
      </w:r>
      <w:r>
        <w:rPr>
          <w:rFonts w:ascii="Arial" w:hAnsi="Arial" w:cs="Arial"/>
        </w:rPr>
        <w:t xml:space="preserve"> </w:t>
      </w:r>
      <w:r>
        <w:rPr>
          <w:rFonts w:ascii="Arial" w:hAnsi="Arial" w:cs="Arial"/>
          <w:color w:val="000000"/>
        </w:rPr>
        <w:t xml:space="preserve">Cadastro Nacional de Condenações Cíveis por Atos de Improbidade Administrativa, mantido pelo Conselho Nacional de Justiça – CNJ, no endereço eletrônico </w:t>
      </w:r>
      <w:r>
        <w:rPr>
          <w:rFonts w:ascii="Arial" w:hAnsi="Arial" w:cs="Arial"/>
        </w:rPr>
        <w:fldChar w:fldCharType="begin"/>
      </w:r>
      <w:r>
        <w:rPr>
          <w:rFonts w:ascii="Arial" w:hAnsi="Arial" w:cs="Arial"/>
        </w:rPr>
        <w:instrText xml:space="preserve"> HYPERLINK "http://www.cnj.jus.br/improbidade_adm/consultar_requeri</w:instrText>
      </w:r>
      <w:r>
        <w:rPr>
          <w:rFonts w:ascii="Arial" w:hAnsi="Arial" w:cs="Arial"/>
        </w:rPr>
        <w:instrText xml:space="preserve">do.php"</w:instrText>
      </w:r>
      <w:r>
        <w:rPr>
          <w:rFonts w:ascii="Arial" w:hAnsi="Arial" w:cs="Arial"/>
        </w:rPr>
        <w:fldChar w:fldCharType="separate"/>
      </w:r>
      <w:r>
        <w:rPr>
          <w:rStyle w:val="900"/>
          <w:rFonts w:ascii="Arial" w:hAnsi="Arial" w:cs="Arial"/>
          <w:color w:val="000000"/>
        </w:rPr>
        <w:t xml:space="preserve">www.cnj.jus.br/improbidade_adm/consultar_requerido.php</w:t>
      </w:r>
      <w:r>
        <w:rPr>
          <w:rFonts w:ascii="Arial" w:hAnsi="Arial" w:cs="Arial"/>
        </w:rPr>
        <w:fldChar w:fldCharType="end"/>
      </w:r>
      <w:r>
        <w:rPr>
          <w:rFonts w:ascii="Arial" w:hAnsi="Arial" w:cs="Arial"/>
        </w:rPr>
        <w:t xml:space="preserve">;</w:t>
      </w:r>
      <w:r>
        <w:rPr>
          <w:rFonts w:ascii="Arial" w:hAnsi="Arial" w:cs="Arial"/>
        </w:rPr>
      </w:r>
    </w:p>
    <w:p>
      <w:pPr>
        <w:pStyle w:val="828"/>
        <w:pBdr/>
        <w:spacing/>
        <w:ind w:left="426"/>
        <w:jc w:val="both"/>
        <w:rPr>
          <w:rFonts w:ascii="Arial" w:hAnsi="Arial" w:cs="Arial"/>
        </w:rPr>
      </w:pPr>
      <w:r>
        <w:rPr>
          <w:rFonts w:ascii="Arial" w:hAnsi="Arial" w:cs="Arial"/>
        </w:rPr>
      </w:r>
      <w:r>
        <w:rPr>
          <w:rFonts w:ascii="Arial" w:hAnsi="Arial" w:cs="Arial"/>
        </w:rPr>
      </w:r>
    </w:p>
    <w:p>
      <w:pPr>
        <w:pStyle w:val="828"/>
        <w:pBdr/>
        <w:spacing/>
        <w:ind w:left="426"/>
        <w:jc w:val="both"/>
        <w:rPr>
          <w:rFonts w:ascii="Arial" w:hAnsi="Arial" w:cs="Arial"/>
        </w:rPr>
      </w:pPr>
      <w:r>
        <w:rPr>
          <w:rFonts w:ascii="Arial" w:hAnsi="Arial" w:cs="Arial"/>
          <w:b/>
        </w:rPr>
        <w:t xml:space="preserve">13.9</w:t>
      </w:r>
      <w:r>
        <w:rPr>
          <w:rFonts w:ascii="Arial" w:hAnsi="Arial" w:cs="Arial"/>
          <w:b/>
        </w:rPr>
        <w:t xml:space="preserve">.2.</w:t>
      </w:r>
      <w:r>
        <w:rPr>
          <w:rFonts w:ascii="Arial" w:hAnsi="Arial" w:cs="Arial"/>
        </w:rPr>
        <w:t xml:space="preserve"> Cadastro Nacional das Empresas Inidôneas e Suspensas – CEIS, no endereço eletrônico </w:t>
      </w:r>
      <w:r>
        <w:rPr>
          <w:rFonts w:ascii="Arial" w:hAnsi="Arial" w:cs="Arial"/>
        </w:rPr>
        <w:fldChar w:fldCharType="begin"/>
      </w:r>
      <w:r>
        <w:rPr>
          <w:rFonts w:ascii="Arial" w:hAnsi="Arial" w:cs="Arial"/>
        </w:rPr>
        <w:instrText xml:space="preserve"> HYPERLINK "http://www.portaldatransparencia.gov.br/ceis"</w:instrText>
      </w:r>
      <w:r>
        <w:rPr>
          <w:rFonts w:ascii="Arial" w:hAnsi="Arial" w:cs="Arial"/>
        </w:rPr>
        <w:fldChar w:fldCharType="separate"/>
      </w:r>
      <w:r>
        <w:rPr>
          <w:rStyle w:val="900"/>
          <w:rFonts w:ascii="Arial" w:hAnsi="Arial" w:cs="Arial"/>
          <w:color w:val="000000"/>
        </w:rPr>
        <w:t xml:space="preserve">www.portaldatransparencia.gov.br/ceis</w:t>
      </w:r>
      <w:r>
        <w:rPr>
          <w:rFonts w:ascii="Arial" w:hAnsi="Arial" w:cs="Arial"/>
        </w:rPr>
        <w:fldChar w:fldCharType="end"/>
      </w:r>
      <w:r>
        <w:rPr>
          <w:rFonts w:ascii="Arial" w:hAnsi="Arial" w:cs="Arial"/>
        </w:rPr>
        <w:t xml:space="preserve">.</w:t>
      </w:r>
      <w:r>
        <w:rPr>
          <w:rFonts w:ascii="Arial" w:hAnsi="Arial" w:cs="Arial"/>
        </w:rPr>
      </w:r>
    </w:p>
    <w:p>
      <w:pPr>
        <w:pStyle w:val="828"/>
        <w:pBdr/>
        <w:spacing/>
        <w:ind w:left="426"/>
        <w:jc w:val="both"/>
        <w:rPr>
          <w:rFonts w:ascii="Arial" w:hAnsi="Arial" w:cs="Arial"/>
        </w:rPr>
      </w:pPr>
      <w:r>
        <w:rPr>
          <w:rFonts w:ascii="Arial" w:hAnsi="Arial" w:cs="Arial"/>
        </w:rPr>
      </w:r>
      <w:r>
        <w:rPr>
          <w:rFonts w:ascii="Arial" w:hAnsi="Arial" w:cs="Arial"/>
        </w:rPr>
      </w:r>
    </w:p>
    <w:p>
      <w:pPr>
        <w:pStyle w:val="828"/>
        <w:pBdr/>
        <w:spacing/>
        <w:ind w:left="426"/>
        <w:jc w:val="both"/>
        <w:rPr>
          <w:rFonts w:ascii="Arial" w:hAnsi="Arial" w:cs="Arial"/>
        </w:rPr>
      </w:pPr>
      <w:r>
        <w:rPr>
          <w:rFonts w:ascii="Arial" w:hAnsi="Arial" w:cs="Arial"/>
          <w:b/>
        </w:rPr>
        <w:t xml:space="preserve">13.9</w:t>
      </w:r>
      <w:r>
        <w:rPr>
          <w:rFonts w:ascii="Arial" w:hAnsi="Arial" w:cs="Arial"/>
          <w:b/>
        </w:rPr>
        <w:t xml:space="preserve">.3. </w:t>
      </w:r>
      <w:r>
        <w:rPr>
          <w:rFonts w:ascii="Arial" w:hAnsi="Arial" w:cs="Arial"/>
        </w:rPr>
        <w:t xml:space="preserve">No caso dos licitantes Pessoa Jurídica as consultas acima poderão ser substituídas pela Consulta Consolidada de Pessoa Jurídica do TCU, no endereço eletrônico </w:t>
      </w:r>
      <w:r>
        <w:rPr>
          <w:rFonts w:ascii="Arial" w:hAnsi="Arial" w:cs="Arial"/>
        </w:rPr>
        <w:fldChar w:fldCharType="begin"/>
      </w:r>
      <w:r>
        <w:rPr>
          <w:rFonts w:ascii="Arial" w:hAnsi="Arial" w:cs="Arial"/>
        </w:rPr>
        <w:instrText xml:space="preserve"> HYPERLINK "https://certidoes-apf.apps.tcu.gov.br/"</w:instrText>
      </w:r>
      <w:r>
        <w:rPr>
          <w:rFonts w:ascii="Arial" w:hAnsi="Arial" w:cs="Arial"/>
        </w:rPr>
        <w:fldChar w:fldCharType="separate"/>
      </w:r>
      <w:r>
        <w:rPr>
          <w:rStyle w:val="900"/>
          <w:rFonts w:ascii="Arial" w:hAnsi="Arial" w:cs="Arial"/>
          <w:color w:val="000000"/>
        </w:rPr>
        <w:t xml:space="preserve">https://certidoes-apf.apps.tcu.</w:t>
      </w:r>
      <w:r>
        <w:rPr>
          <w:rStyle w:val="900"/>
          <w:rFonts w:ascii="Arial" w:hAnsi="Arial" w:cs="Arial"/>
          <w:color w:val="000000"/>
        </w:rPr>
        <w:t xml:space="preserve">gov.br</w:t>
      </w:r>
      <w:r>
        <w:rPr>
          <w:rFonts w:ascii="Arial" w:hAnsi="Arial" w:cs="Arial"/>
        </w:rPr>
        <w:fldChar w:fldCharType="end"/>
      </w:r>
      <w:r>
        <w:rPr>
          <w:rFonts w:ascii="Arial" w:hAnsi="Arial" w:cs="Arial"/>
        </w:rPr>
        <w:t xml:space="preserve">.</w:t>
      </w:r>
      <w:r>
        <w:rPr>
          <w:rFonts w:ascii="Arial" w:hAnsi="Arial" w:cs="Arial"/>
        </w:rPr>
      </w:r>
    </w:p>
    <w:p>
      <w:pPr>
        <w:pStyle w:val="828"/>
        <w:pBdr/>
        <w:spacing/>
        <w:ind w:left="426"/>
        <w:jc w:val="both"/>
        <w:rPr>
          <w:rFonts w:ascii="Arial" w:hAnsi="Arial" w:cs="Arial"/>
        </w:rPr>
      </w:pPr>
      <w:r>
        <w:rPr>
          <w:rFonts w:ascii="Arial" w:hAnsi="Arial" w:cs="Arial"/>
        </w:rPr>
      </w:r>
      <w:r>
        <w:rPr>
          <w:rFonts w:ascii="Arial" w:hAnsi="Arial" w:cs="Arial"/>
        </w:rPr>
      </w:r>
    </w:p>
    <w:p>
      <w:pPr>
        <w:pStyle w:val="828"/>
        <w:pBdr/>
        <w:spacing/>
        <w:ind w:left="426"/>
        <w:jc w:val="both"/>
        <w:rPr>
          <w:rFonts w:ascii="Arial" w:hAnsi="Arial" w:cs="Arial"/>
        </w:rPr>
      </w:pPr>
      <w:r>
        <w:rPr>
          <w:rFonts w:ascii="Arial" w:hAnsi="Arial" w:cs="Arial"/>
          <w:b/>
        </w:rPr>
        <w:t xml:space="preserve">13.9</w:t>
      </w:r>
      <w:r>
        <w:rPr>
          <w:rFonts w:ascii="Arial" w:hAnsi="Arial" w:cs="Arial"/>
          <w:b/>
        </w:rPr>
        <w:t xml:space="preserve">.4. </w:t>
      </w:r>
      <w:r>
        <w:rPr>
          <w:rFonts w:ascii="Arial" w:hAnsi="Arial" w:cs="Arial"/>
        </w:rPr>
        <w:t xml:space="preserve">Cadastro de Empresas Inidôneas e de Pessoas Suspensas de contratar com a Administração Pública do TCE/MT, no endereço eletrônico </w:t>
      </w:r>
      <w:r>
        <w:rPr>
          <w:rFonts w:ascii="Arial" w:hAnsi="Arial" w:cs="Arial"/>
        </w:rPr>
        <w:fldChar w:fldCharType="begin"/>
      </w:r>
      <w:r>
        <w:rPr>
          <w:rFonts w:ascii="Arial" w:hAnsi="Arial" w:cs="Arial"/>
        </w:rPr>
        <w:instrText xml:space="preserve"> HYPERLINK "https://jurisdicionado.tce.mt.gov.br/conteudo/index/sid/477"</w:instrText>
      </w:r>
      <w:r>
        <w:rPr>
          <w:rFonts w:ascii="Arial" w:hAnsi="Arial" w:cs="Arial"/>
        </w:rPr>
        <w:fldChar w:fldCharType="separate"/>
      </w:r>
      <w:r>
        <w:rPr>
          <w:rStyle w:val="900"/>
          <w:rFonts w:ascii="Arial" w:hAnsi="Arial" w:cs="Arial"/>
          <w:color w:val="000000"/>
        </w:rPr>
        <w:t xml:space="preserve">https://jurisdicionado.tce.mt.gov.br/conteudo/index/sid/477</w:t>
      </w:r>
      <w:r>
        <w:rPr>
          <w:rFonts w:ascii="Arial" w:hAnsi="Arial" w:cs="Arial"/>
        </w:rPr>
        <w:fldChar w:fldCharType="end"/>
      </w:r>
      <w:r>
        <w:rPr>
          <w:rFonts w:ascii="Arial" w:hAnsi="Arial" w:cs="Arial"/>
        </w:rPr>
        <w:t xml:space="preserve">.</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13.</w:t>
      </w:r>
      <w:r>
        <w:rPr>
          <w:rFonts w:ascii="Arial" w:hAnsi="Arial" w:cs="Arial"/>
          <w:b/>
        </w:rPr>
        <w:t xml:space="preserve">10</w:t>
      </w:r>
      <w:r>
        <w:rPr>
          <w:rFonts w:ascii="Arial" w:hAnsi="Arial" w:cs="Arial"/>
          <w:b/>
        </w:rPr>
        <w:t xml:space="preserve">. Sob pena de inabilitação, todos os documentos apresentados para habilitação deverão estar em nome da licitante, e, preferencialmente</w:t>
      </w:r>
      <w:r>
        <w:rPr>
          <w:rFonts w:ascii="Arial" w:hAnsi="Arial" w:cs="Arial"/>
        </w:rPr>
        <w:t xml:space="preserve">, com número do CNPJ e com o endereço respectivo: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426"/>
        <w:jc w:val="both"/>
        <w:rPr>
          <w:rFonts w:ascii="Arial" w:hAnsi="Arial" w:cs="Arial"/>
        </w:rPr>
      </w:pPr>
      <w:r>
        <w:rPr>
          <w:rFonts w:ascii="Arial" w:hAnsi="Arial" w:cs="Arial"/>
          <w:b/>
        </w:rPr>
        <w:t xml:space="preserve">13.10</w:t>
      </w:r>
      <w:r>
        <w:rPr>
          <w:rFonts w:ascii="Arial" w:hAnsi="Arial" w:cs="Arial"/>
          <w:b/>
        </w:rPr>
        <w:t xml:space="preserve">.1.</w:t>
      </w:r>
      <w:r>
        <w:rPr>
          <w:rFonts w:ascii="Arial" w:hAnsi="Arial" w:cs="Arial"/>
        </w:rPr>
        <w:t xml:space="preserve"> Se a licitante for a matriz</w:t>
      </w:r>
      <w:r>
        <w:rPr>
          <w:rFonts w:ascii="Arial" w:hAnsi="Arial" w:cs="Arial"/>
        </w:rPr>
        <w:t xml:space="preserve">, todos os documentos deverão estar em nome da matriz;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426"/>
        <w:jc w:val="both"/>
        <w:rPr>
          <w:rFonts w:ascii="Arial" w:hAnsi="Arial" w:cs="Arial"/>
        </w:rPr>
      </w:pPr>
      <w:r>
        <w:rPr>
          <w:rFonts w:ascii="Arial" w:hAnsi="Arial" w:cs="Arial"/>
          <w:b/>
        </w:rPr>
        <w:t xml:space="preserve">13.10</w:t>
      </w:r>
      <w:r>
        <w:rPr>
          <w:rFonts w:ascii="Arial" w:hAnsi="Arial" w:cs="Arial"/>
          <w:b/>
        </w:rPr>
        <w:t xml:space="preserve">.2.</w:t>
      </w:r>
      <w:r>
        <w:rPr>
          <w:rFonts w:ascii="Arial" w:hAnsi="Arial" w:cs="Arial"/>
        </w:rPr>
        <w:t xml:space="preserve"> Se a licitante for a filial, todos os documentos deverão estar em nome da filial, exceto aqueles </w:t>
      </w:r>
      <w:r>
        <w:rPr>
          <w:rFonts w:ascii="Arial" w:hAnsi="Arial" w:cs="Arial"/>
          <w:b/>
        </w:rPr>
        <w:t xml:space="preserve">documentos</w:t>
      </w:r>
      <w:r>
        <w:rPr>
          <w:rFonts w:ascii="Arial" w:hAnsi="Arial" w:cs="Arial"/>
        </w:rPr>
        <w:t xml:space="preserve"> que, pela própria natureza, comprovadamente, forem emitidos somente em nome da matriz;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13.11</w:t>
      </w:r>
      <w:r>
        <w:rPr>
          <w:rFonts w:ascii="Arial" w:hAnsi="Arial" w:cs="Arial"/>
          <w:b/>
        </w:rPr>
        <w:t xml:space="preserve">.</w:t>
      </w:r>
      <w:r>
        <w:rPr>
          <w:rFonts w:ascii="Arial" w:hAnsi="Arial" w:cs="Arial"/>
        </w:rPr>
        <w:t xml:space="preserve"> Os documentos apresentados para habilitação sem disposição expressa do órgão expedidor quanto a sua validade, terão o </w:t>
      </w:r>
      <w:r>
        <w:rPr>
          <w:rFonts w:ascii="Arial" w:hAnsi="Arial" w:cs="Arial"/>
          <w:b/>
        </w:rPr>
        <w:t xml:space="preserve">prazo de vencimento de 60 (sessenta) dias</w:t>
      </w:r>
      <w:r>
        <w:rPr>
          <w:rFonts w:ascii="Arial" w:hAnsi="Arial" w:cs="Arial"/>
        </w:rPr>
        <w:t xml:space="preserve"> contados a partir de sua data de emissão a data da sessão pública;</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13.12</w:t>
      </w:r>
      <w:r>
        <w:rPr>
          <w:rFonts w:ascii="Arial" w:hAnsi="Arial" w:cs="Arial"/>
          <w:b/>
        </w:rPr>
        <w:t xml:space="preserve">.</w:t>
      </w:r>
      <w:r>
        <w:rPr>
          <w:rFonts w:ascii="Arial" w:hAnsi="Arial" w:cs="Arial"/>
        </w:rPr>
        <w:t xml:space="preserve"> Poderá </w:t>
      </w:r>
      <w:r>
        <w:rPr>
          <w:rFonts w:ascii="Arial" w:hAnsi="Arial" w:cs="Arial"/>
        </w:rPr>
        <w:t xml:space="preserve">ser declarado qualquer fato formal, des</w:t>
      </w:r>
      <w:r>
        <w:rPr>
          <w:rFonts w:ascii="Arial" w:hAnsi="Arial" w:cs="Arial"/>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rPr>
          <w:rFonts w:ascii="Arial" w:hAnsi="Arial" w:cs="Arial"/>
        </w:rPr>
      </w:r>
    </w:p>
    <w:p>
      <w:pPr>
        <w:pStyle w:val="828"/>
        <w:pBdr/>
        <w:spacing/>
        <w:ind/>
        <w:jc w:val="both"/>
        <w:rPr>
          <w:rFonts w:ascii="Arial" w:hAnsi="Arial" w:cs="Arial"/>
        </w:rPr>
      </w:pPr>
      <w:r>
        <w:rPr>
          <w:rFonts w:ascii="Arial" w:hAnsi="Arial" w:cs="Arial"/>
          <w:b/>
        </w:rPr>
        <w:t xml:space="preserve">13.13</w:t>
      </w:r>
      <w:r>
        <w:rPr>
          <w:rFonts w:ascii="Arial" w:hAnsi="Arial" w:cs="Arial"/>
          <w:b/>
        </w:rPr>
        <w:t xml:space="preserve">.</w:t>
      </w:r>
      <w:r>
        <w:rPr>
          <w:rFonts w:ascii="Arial" w:hAnsi="Arial" w:cs="Arial"/>
        </w:rPr>
        <w:t xml:space="preserve"> A verificação pelo pregoeiro, em sítios eletrônicos oficiais de órgãos e entidades emissores de certidões constitui meio legal de prova, para fins de habilitação;</w:t>
      </w:r>
      <w:r>
        <w:rPr>
          <w:rFonts w:ascii="Arial" w:hAnsi="Arial" w:cs="Arial"/>
        </w:rPr>
      </w:r>
    </w:p>
    <w:p>
      <w:pPr>
        <w:pStyle w:val="828"/>
        <w:pBdr/>
        <w:spacing/>
        <w:ind w:left="284"/>
        <w:jc w:val="both"/>
        <w:rPr>
          <w:rFonts w:ascii="Arial" w:hAnsi="Arial" w:cs="Arial"/>
          <w:b/>
          <w:i/>
          <w:iCs/>
        </w:rPr>
      </w:pPr>
      <w:r>
        <w:rPr>
          <w:rFonts w:ascii="Arial" w:hAnsi="Arial" w:cs="Arial"/>
          <w:b/>
          <w:i/>
          <w:iCs/>
        </w:rPr>
      </w:r>
      <w:r>
        <w:rPr>
          <w:rFonts w:ascii="Arial" w:hAnsi="Arial" w:cs="Arial"/>
          <w:b/>
          <w:i/>
          <w:iCs/>
        </w:rPr>
      </w:r>
    </w:p>
    <w:p>
      <w:pPr>
        <w:pStyle w:val="828"/>
        <w:pBdr/>
        <w:spacing/>
        <w:ind/>
        <w:jc w:val="both"/>
        <w:rPr>
          <w:rFonts w:ascii="Arial" w:hAnsi="Arial" w:cs="Arial"/>
        </w:rPr>
      </w:pPr>
      <w:r>
        <w:rPr>
          <w:rFonts w:ascii="Arial" w:hAnsi="Arial" w:cs="Arial"/>
          <w:b/>
        </w:rPr>
        <w:t xml:space="preserve">13.14</w:t>
      </w:r>
      <w:r>
        <w:rPr>
          <w:rFonts w:ascii="Arial" w:hAnsi="Arial" w:cs="Arial"/>
          <w:b/>
        </w:rPr>
        <w:t xml:space="preserve">.</w:t>
      </w:r>
      <w:r>
        <w:rPr>
          <w:rFonts w:ascii="Arial" w:hAnsi="Arial" w:cs="Arial"/>
        </w:rPr>
        <w:t xml:space="preserve"> Constatando, por meio de diligência, o</w:t>
      </w:r>
      <w:r>
        <w:rPr>
          <w:rFonts w:ascii="Arial" w:hAnsi="Arial" w:cs="Arial"/>
        </w:rPr>
        <w:t xml:space="preserve"> não atendimento ao estabelecido, o Pregoeiro considerará a proponente inabilitada e prosseguirá a sessão;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13.15</w:t>
      </w:r>
      <w:r>
        <w:rPr>
          <w:rFonts w:ascii="Arial" w:hAnsi="Arial" w:cs="Arial"/>
          <w:b/>
        </w:rPr>
        <w:t xml:space="preserve">.</w:t>
      </w:r>
      <w:r>
        <w:rPr>
          <w:rFonts w:ascii="Arial" w:hAnsi="Arial" w:cs="Arial"/>
        </w:rPr>
        <w:t xml:space="preserve"> Os atos e os documentos para habilitação, constantes dos arquivos e registros digitais, serão válidos para todos os efeitos legais, inclusive para comprovação e prestação de contas. (Conf. Decreto 10.024 /2019, Art. 8º, § 1º);</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13.16</w:t>
      </w:r>
      <w:r>
        <w:rPr>
          <w:rFonts w:ascii="Arial" w:hAnsi="Arial" w:cs="Arial"/>
          <w:b/>
        </w:rPr>
        <w:t xml:space="preserve">.</w:t>
      </w:r>
      <w:r>
        <w:rPr>
          <w:rFonts w:ascii="Arial" w:hAnsi="Arial" w:cs="Arial"/>
        </w:rPr>
        <w:t xml:space="preserve"> Somente haverá a necessidade de comprovação do preenchimento de requisitos mediante apresentação dos documentos originais não-digitais quando houver dúvida em re</w:t>
      </w:r>
      <w:r>
        <w:rPr>
          <w:rFonts w:ascii="Arial" w:hAnsi="Arial" w:cs="Arial"/>
        </w:rPr>
        <w:t xml:space="preserve">lação à integridade do documento digital ou quando a lei expressamente o exigir. (</w:t>
      </w:r>
      <w:r>
        <w:rPr>
          <w:rFonts w:ascii="Arial" w:hAnsi="Arial" w:cs="Arial"/>
        </w:rPr>
        <w:fldChar w:fldCharType="begin"/>
      </w:r>
      <w:r>
        <w:rPr>
          <w:rFonts w:ascii="Arial" w:hAnsi="Arial" w:cs="Arial"/>
        </w:rPr>
        <w:instrText xml:space="preserve"> HYPERLINK "https://www.gov.br/compras/pt-br/acesso-a-informacao/legislacao/instrucoes-normativas/instrucao-normativa-no-3-de-26-de-abril-de-2018" \l "art4"</w:instrText>
      </w:r>
      <w:r>
        <w:rPr>
          <w:rFonts w:ascii="Arial" w:hAnsi="Arial" w:cs="Arial"/>
        </w:rPr>
        <w:fldChar w:fldCharType="separate"/>
      </w:r>
      <w:r>
        <w:rPr>
          <w:rStyle w:val="900"/>
          <w:rFonts w:ascii="Arial" w:hAnsi="Arial" w:cs="Arial"/>
        </w:rPr>
        <w:t xml:space="preserve">IN nº 3/2018, art. 4º, §1º, e art. 6º, §4º</w:t>
      </w:r>
      <w:r>
        <w:rPr>
          <w:rFonts w:ascii="Arial" w:hAnsi="Arial" w:cs="Arial"/>
        </w:rPr>
        <w:fldChar w:fldCharType="end"/>
      </w:r>
      <w:r>
        <w:rPr>
          <w:rFonts w:ascii="Arial" w:hAnsi="Arial" w:cs="Arial"/>
        </w:rPr>
        <w:t xml:space="preserve">);</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13</w:t>
      </w:r>
      <w:r>
        <w:rPr>
          <w:rFonts w:ascii="Arial" w:hAnsi="Arial" w:cs="Arial"/>
          <w:b/>
        </w:rPr>
        <w:t xml:space="preserve">.17</w:t>
      </w:r>
      <w:r>
        <w:rPr>
          <w:rFonts w:ascii="Arial" w:hAnsi="Arial" w:cs="Arial"/>
          <w:b/>
        </w:rPr>
        <w:t xml:space="preserve">.</w:t>
      </w:r>
      <w:r>
        <w:rPr>
          <w:rFonts w:ascii="Arial" w:hAnsi="Arial" w:cs="Arial"/>
        </w:rPr>
        <w:t xml:space="preserve"> O Pregoeiro reserva-se o direito de solicitar o original de qualquer documento, sempre que tiver dúvida e julgar necessário.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9"/>
        <w:pBdr/>
        <w:spacing w:after="0" w:before="0"/>
        <w:ind/>
        <w:rPr>
          <w:sz w:val="20"/>
          <w:szCs w:val="20"/>
          <w:lang w:val="pt-BR"/>
        </w:rPr>
      </w:pPr>
      <w:r/>
      <w:bookmarkStart w:id="18" w:name="__RefHeading___Toc190782020"/>
      <w:r/>
      <w:bookmarkEnd w:id="18"/>
      <w:r>
        <w:rPr>
          <w:rFonts w:eastAsia="SimSun"/>
          <w:sz w:val="20"/>
          <w:szCs w:val="20"/>
          <w:lang w:val="pt-BR"/>
        </w:rPr>
        <w:t xml:space="preserve">14. DO ENVIO DE DOCUMENTOS COMPLEMENTARES QUANDO FOR O CASO:</w:t>
      </w:r>
      <w:r>
        <w:rPr>
          <w:sz w:val="20"/>
          <w:szCs w:val="20"/>
          <w:lang w:val="pt-BR"/>
        </w:rPr>
      </w:r>
      <w:r>
        <w:rPr>
          <w:sz w:val="20"/>
          <w:szCs w:val="20"/>
          <w:lang w:val="pt-BR"/>
        </w:rPr>
      </w:r>
    </w:p>
    <w:p>
      <w:pPr>
        <w:pStyle w:val="828"/>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pPr>
        <w:pStyle w:val="828"/>
        <w:pBdr/>
        <w:spacing/>
        <w:ind/>
        <w:jc w:val="both"/>
        <w:rPr>
          <w:rFonts w:ascii="Arial" w:hAnsi="Arial" w:cs="Arial"/>
        </w:rPr>
      </w:pPr>
      <w:r>
        <w:rPr>
          <w:rFonts w:ascii="Arial" w:hAnsi="Arial" w:cs="Arial"/>
          <w:b/>
        </w:rPr>
        <w:t xml:space="preserve">14.1. </w:t>
      </w:r>
      <w:r>
        <w:rPr>
          <w:rFonts w:ascii="Arial" w:hAnsi="Arial" w:cs="Arial"/>
        </w:rPr>
        <w:t xml:space="preserve">Na hipótese de necessid</w:t>
      </w:r>
      <w:r>
        <w:rPr>
          <w:rFonts w:ascii="Arial" w:hAnsi="Arial" w:cs="Arial"/>
        </w:rPr>
        <w:t xml:space="preserve">ade de envio de documentos complementares após o julgamento da proposta, os documentos deverão ser apresentados em formato digital, </w:t>
      </w:r>
      <w:r>
        <w:rPr>
          <w:rFonts w:ascii="Arial" w:hAnsi="Arial" w:cs="Arial"/>
          <w:color w:val="000000"/>
        </w:rPr>
        <w:t xml:space="preserve">via sistema BLL</w:t>
      </w:r>
      <w:r>
        <w:rPr>
          <w:rFonts w:ascii="Arial" w:hAnsi="Arial" w:cs="Arial"/>
        </w:rPr>
        <w:t xml:space="preserve">, no prazo máximo de até 02 (dois) dias úteis, após solicitação do Pregoeiro;</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rPr>
        <w:t xml:space="preserve">14.1.1. </w:t>
      </w:r>
      <w:r>
        <w:rPr>
          <w:rFonts w:ascii="Arial" w:hAnsi="Arial" w:cs="Arial"/>
        </w:rPr>
        <w:t xml:space="preserve">Os documentos compleme</w:t>
      </w:r>
      <w:r>
        <w:rPr>
          <w:rFonts w:ascii="Arial" w:hAnsi="Arial" w:cs="Arial"/>
        </w:rPr>
        <w:t xml:space="preserve">ntares a serem apresentados não poderão ser os já exigidos no edital para fins de habilitação, não se trata de uma segunda oportunidade para envio de documentos de habilitação. A diligência em questão permite, apenas, a solicitação de documentos outros par</w:t>
      </w:r>
      <w:r>
        <w:rPr>
          <w:rFonts w:ascii="Arial" w:hAnsi="Arial" w:cs="Arial"/>
        </w:rPr>
        <w:t xml:space="preserve">a confirmação dos já apresentados (quando houver dúvida sobre integridade de documentos, cópia de contrato de prestação de serviços que tenha embasado a emissão de atestado de capacidade técnica, já apresentados).</w:t>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9"/>
        <w:pBdr/>
        <w:spacing w:after="0" w:before="0"/>
        <w:ind/>
        <w:rPr>
          <w:sz w:val="20"/>
          <w:szCs w:val="20"/>
        </w:rPr>
      </w:pPr>
      <w:r/>
      <w:bookmarkStart w:id="19" w:name="__RefHeading___Toc190782021"/>
      <w:r/>
      <w:bookmarkEnd w:id="19"/>
      <w:r>
        <w:rPr>
          <w:rFonts w:eastAsia="SimSun"/>
          <w:sz w:val="20"/>
          <w:szCs w:val="20"/>
          <w:lang w:val="pt-BR"/>
        </w:rPr>
        <w:t xml:space="preserve">15. DA ADJUDICAÇÃO E HOMOLOGAÇÃO:</w:t>
      </w:r>
      <w:r>
        <w:rPr>
          <w:sz w:val="20"/>
          <w:szCs w:val="20"/>
        </w:rPr>
      </w:r>
      <w:r>
        <w:rPr>
          <w:sz w:val="20"/>
          <w:szCs w:val="20"/>
        </w:rPr>
      </w:r>
    </w:p>
    <w:p>
      <w:pPr>
        <w:pStyle w:val="828"/>
        <w:pBdr/>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spacing/>
        <w:ind/>
        <w:jc w:val="both"/>
        <w:rPr>
          <w:rFonts w:ascii="Arial" w:hAnsi="Arial" w:cs="Arial"/>
        </w:rPr>
      </w:pPr>
      <w:r>
        <w:rPr>
          <w:rFonts w:ascii="Arial" w:hAnsi="Arial" w:cs="Arial"/>
          <w:b/>
        </w:rPr>
        <w:t xml:space="preserve">15.1.</w:t>
      </w:r>
      <w:r>
        <w:rPr>
          <w:rFonts w:ascii="Arial" w:hAnsi="Arial" w:cs="Arial"/>
        </w:rPr>
        <w:t xml:space="preserve"> Não havendo recurso e constatado o atendimento das exigências fixadas neste Edital, a licitante será declarada vencedora do certame, sendo-lhe adjudicado o objeto pela autoridade competente.</w:t>
      </w:r>
      <w:r>
        <w:rPr>
          <w:rFonts w:ascii="Arial" w:hAnsi="Arial" w:cs="Arial"/>
        </w:rPr>
      </w:r>
    </w:p>
    <w:p>
      <w:pPr>
        <w:pStyle w:val="828"/>
        <w:pBdr/>
        <w:spacing/>
        <w:ind w:left="708"/>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15.2.</w:t>
      </w:r>
      <w:r>
        <w:rPr>
          <w:rFonts w:ascii="Arial" w:hAnsi="Arial" w:cs="Arial"/>
        </w:rPr>
        <w:t xml:space="preserve"> Havendo recurso, e mantida a decisão do(a) pregoeiro(a), a</w:t>
      </w:r>
      <w:r>
        <w:rPr>
          <w:rFonts w:ascii="Arial" w:hAnsi="Arial" w:cs="Arial"/>
        </w:rPr>
        <w:t xml:space="preserve"> autoridade competente, após deliberar sobre o mesmo e constatada a regularidade dos atos procedimentais, poderá adjudicar o objeto à licitante vencedora e homologar o processo licitatório.</w:t>
      </w:r>
      <w:r>
        <w:rPr>
          <w:rFonts w:ascii="Arial" w:hAnsi="Arial" w:cs="Arial"/>
        </w:rPr>
      </w:r>
    </w:p>
    <w:p>
      <w:pPr>
        <w:pStyle w:val="828"/>
        <w:pBdr/>
        <w:spacing/>
        <w:ind w:left="708"/>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15.3.</w:t>
      </w:r>
      <w:r>
        <w:rPr>
          <w:rFonts w:ascii="Arial" w:hAnsi="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cs="Arial"/>
          <w:color w:val="000000"/>
          <w:u w:val="single"/>
        </w:rPr>
        <w:t xml:space="preserve">art. 71 da Lei Federal nº 14.133/2021</w:t>
      </w:r>
      <w:r>
        <w:rPr>
          <w:rFonts w:ascii="Arial" w:hAnsi="Arial" w:cs="Arial"/>
        </w:rPr>
        <w:t xml:space="preserv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9"/>
        <w:pBdr/>
        <w:spacing w:after="0" w:before="0"/>
        <w:ind/>
        <w:rPr>
          <w:sz w:val="20"/>
          <w:szCs w:val="20"/>
          <w:lang w:val="pt-BR"/>
        </w:rPr>
      </w:pPr>
      <w:r>
        <w:rPr>
          <w:sz w:val="20"/>
          <w:szCs w:val="20"/>
          <w:lang w:val="pt-BR"/>
        </w:rPr>
        <w:t xml:space="preserve">16. DA ATA DE REGISTRO DE PREÇOS: </w:t>
      </w:r>
      <w:r>
        <w:rPr>
          <w:sz w:val="20"/>
          <w:szCs w:val="20"/>
          <w:lang w:val="pt-BR"/>
        </w:rPr>
      </w:r>
    </w:p>
    <w:p>
      <w:pPr>
        <w:pStyle w:val="828"/>
        <w:pBdr/>
        <w:spacing/>
        <w:ind/>
        <w:rPr>
          <w:rFonts w:ascii="Arial" w:hAnsi="Arial" w:cs="Arial"/>
          <w:b/>
          <w:bCs/>
        </w:rPr>
      </w:pPr>
      <w:r>
        <w:rPr>
          <w:rFonts w:ascii="Arial" w:hAnsi="Arial" w:cs="Arial"/>
          <w:b/>
          <w:bCs/>
        </w:rPr>
      </w:r>
      <w:r>
        <w:rPr>
          <w:rFonts w:ascii="Arial" w:hAnsi="Arial" w:cs="Arial"/>
          <w:b/>
          <w:bCs/>
        </w:rPr>
      </w:r>
    </w:p>
    <w:p>
      <w:pPr>
        <w:pStyle w:val="828"/>
        <w:pBdr/>
        <w:spacing/>
        <w:ind/>
        <w:jc w:val="both"/>
        <w:rPr>
          <w:rFonts w:ascii="Arial" w:hAnsi="Arial" w:cs="Arial"/>
        </w:rPr>
      </w:pPr>
      <w:r>
        <w:rPr>
          <w:rFonts w:ascii="Arial" w:hAnsi="Arial" w:cs="Arial"/>
          <w:b/>
        </w:rPr>
        <w:t xml:space="preserve">16.1.</w:t>
      </w:r>
      <w:r>
        <w:rPr>
          <w:rFonts w:ascii="Arial" w:hAnsi="Arial" w:cs="Arial"/>
        </w:rPr>
        <w:t xml:space="preserve"> Homologado o resul</w:t>
      </w:r>
      <w:r>
        <w:rPr>
          <w:rFonts w:ascii="Arial" w:hAnsi="Arial" w:cs="Arial"/>
        </w:rPr>
        <w:t xml:space="preserve">tado da licitação, o licitante melhor classificado terá o prazo de 05 (cin</w:t>
      </w:r>
      <w:r>
        <w:rPr>
          <w:rFonts w:ascii="Arial" w:hAnsi="Arial" w:cs="Arial"/>
        </w:rPr>
        <w:t xml:space="preserve">co) dias, contados a partir da data de sua convocação, para assinar a Ata de Registro de Preços, cujo prazo de validade encontra-se nela fixado, sob pena de decadência do direito à contratação, sem prejuízo das sanções previstas na Lei nº 14.133, de 2021;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w:t>
      </w:r>
      <w:r>
        <w:rPr>
          <w:rFonts w:ascii="Arial" w:hAnsi="Arial" w:cs="Arial"/>
        </w:rPr>
        <w:t xml:space="preserve"> Alternativamente à convocação para comparecer perante o órgão ou entidade para a assinatura da Ata de Registro de Preços, a Administração poderá encaminhá-la para assinatura,</w:t>
      </w:r>
      <w:r>
        <w:rPr>
          <w:rFonts w:ascii="Arial" w:hAnsi="Arial" w:cs="Arial"/>
        </w:rPr>
        <w:t xml:space="preserve"> mediante correspondência postal com aviso de recebimento (AR) ou meio eletrônico, para que seja assinada no prazo de 5 (cinco) dias, a contar da data de seu recebimento;</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16.3.</w:t>
      </w:r>
      <w:r>
        <w:rPr>
          <w:rFonts w:ascii="Arial" w:hAnsi="Arial" w:cs="Arial"/>
        </w:rPr>
        <w:t xml:space="preserve"> O prazo de convocação poderá ser prorrogado uma vez, por igual período, mediante solicitação do licitante melhor classificado ou do fornecedor convocado, desde que:</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16.3.1. </w:t>
      </w:r>
      <w:r>
        <w:rPr>
          <w:rFonts w:ascii="Arial" w:hAnsi="Arial" w:cs="Arial"/>
        </w:rPr>
        <w:t xml:space="preserve">A solicitação seja devidamente justificada e apresentada dentro do prazo; e</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16.3.1. </w:t>
      </w:r>
      <w:r>
        <w:rPr>
          <w:rFonts w:ascii="Arial" w:hAnsi="Arial" w:cs="Arial"/>
        </w:rPr>
        <w:t xml:space="preserve">A justificativa apresentada seja aceita pela Administração;</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16.4.</w:t>
      </w:r>
      <w:r>
        <w:rPr>
          <w:rFonts w:ascii="Arial" w:hAnsi="Arial" w:cs="Arial"/>
        </w:rPr>
        <w:t xml:space="preserve"> A ata de</w:t>
      </w:r>
      <w:r>
        <w:rPr>
          <w:rFonts w:ascii="Arial" w:hAnsi="Arial" w:cs="Arial"/>
        </w:rPr>
        <w:t xml:space="preserve"> registro de preços será assinada por meio de assinatura digital e disponibilizada no sistema de registro de preços;</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16.5.</w:t>
      </w:r>
      <w:r>
        <w:rPr>
          <w:rFonts w:ascii="Arial" w:hAnsi="Arial" w:cs="Arial"/>
        </w:rPr>
        <w:t xml:space="preserve"> Serão formalizadas tantas</w:t>
      </w:r>
      <w:r>
        <w:rPr>
          <w:rFonts w:ascii="Arial" w:hAnsi="Arial" w:cs="Arial"/>
        </w:rPr>
        <w:t xml:space="preserve"> Atas de Registro de Preços quantas forem necessárias para o registro de todos os itens constantes no Termo de Referência, com a indicação do licitante vencedor, a descrição do(s) item(ns), as respectivas quantidades, preços registrados e demais condições;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16.6.</w:t>
      </w:r>
      <w:r>
        <w:rPr>
          <w:rFonts w:ascii="Arial" w:hAnsi="Arial" w:cs="Arial"/>
        </w:rPr>
        <w:t xml:space="preserve"> O preço registrado, com a indicação dos fornecedores, será divulgado no DIORONDON e disponibilizado</w:t>
      </w:r>
      <w:r>
        <w:rPr>
          <w:rFonts w:ascii="Arial" w:hAnsi="Arial" w:cs="Arial"/>
        </w:rPr>
        <w:t xml:space="preserve"> durante a vigência da ata de registro de preços;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16.7.</w:t>
      </w:r>
      <w:r>
        <w:rPr>
          <w:rFonts w:ascii="Arial" w:hAnsi="Arial" w:cs="Arial"/>
        </w:rPr>
        <w:t xml:space="preserve"> A </w:t>
      </w:r>
      <w:r>
        <w:rPr>
          <w:rFonts w:ascii="Arial" w:hAnsi="Arial" w:cs="Arial"/>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16.8.</w:t>
      </w:r>
      <w:r>
        <w:rPr>
          <w:rFonts w:ascii="Arial" w:hAnsi="Arial" w:cs="Arial"/>
        </w:rPr>
        <w:t xml:space="preserve"> Na hipótese de o convocado não assinar a ata de registro de preços no prazo e nas condições estabelecidas, fica facultado à Administração convocar os licitantes remanescentes do cadastro de</w:t>
      </w:r>
      <w:r>
        <w:rPr>
          <w:rFonts w:ascii="Arial" w:hAnsi="Arial" w:cs="Arial"/>
        </w:rPr>
        <w:t xml:space="preserve"> reserva, na ordem de classificação, para fazê-lo em igual prazo e nas condições propostas pelo primeiro classificado;</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rPr>
        <w:t xml:space="preserve">16.9. </w:t>
      </w:r>
      <w:r>
        <w:rPr>
          <w:rFonts w:ascii="Arial" w:hAnsi="Arial" w:cs="Arial"/>
        </w:rPr>
        <w:t xml:space="preserve">Serão formalizadas t</w:t>
      </w:r>
      <w:r>
        <w:rPr>
          <w:rFonts w:ascii="Arial" w:hAnsi="Arial" w:cs="Arial"/>
        </w:rPr>
        <w:t xml:space="preserve">antas Atas de Registro de Preços quanto necessárias para o registro de todos os itens constantes no Termo de Referência, com a indicação do licitante vencedor, a descrição do (s) item (ns), as respectivas quantidades, preços registrados e demais condições.</w:t>
      </w:r>
      <w:r>
        <w:rPr>
          <w:rFonts w:ascii="Arial" w:hAnsi="Arial" w:cs="Arial"/>
        </w:rPr>
      </w:r>
    </w:p>
    <w:p>
      <w:pPr>
        <w:pStyle w:val="828"/>
        <w:pBdr/>
        <w:spacing/>
        <w:ind/>
        <w:rPr>
          <w:rFonts w:ascii="Arial" w:hAnsi="Arial" w:cs="Arial"/>
          <w:b/>
          <w:bCs/>
        </w:rPr>
      </w:pPr>
      <w:r>
        <w:rPr>
          <w:rFonts w:ascii="Arial" w:hAnsi="Arial" w:cs="Arial"/>
          <w:b/>
          <w:bCs/>
        </w:rPr>
      </w:r>
      <w:r>
        <w:rPr>
          <w:rFonts w:ascii="Arial" w:hAnsi="Arial" w:cs="Arial"/>
          <w:b/>
          <w:bCs/>
        </w:rPr>
      </w:r>
    </w:p>
    <w:p>
      <w:pPr>
        <w:pStyle w:val="828"/>
        <w:pBdr/>
        <w:spacing/>
        <w:ind/>
        <w:rPr>
          <w:rFonts w:ascii="Arial" w:hAnsi="Arial" w:cs="Arial"/>
        </w:rPr>
      </w:pPr>
      <w:r>
        <w:rPr>
          <w:rFonts w:ascii="Arial" w:hAnsi="Arial" w:cs="Arial"/>
          <w:b/>
          <w:bCs/>
          <w:color w:val="000000"/>
        </w:rPr>
        <w:t xml:space="preserve">16.10. DA FORMAÇÃO DO CADASTRO DE RESERVA:</w:t>
      </w:r>
      <w:r>
        <w:rPr>
          <w:rFonts w:ascii="Arial" w:hAnsi="Arial" w:cs="Arial"/>
        </w:rPr>
      </w:r>
      <w:r>
        <w:rPr>
          <w:rFonts w:ascii="Arial" w:hAnsi="Arial" w:cs="Arial"/>
        </w:rPr>
      </w:r>
    </w:p>
    <w:p>
      <w:pPr>
        <w:pStyle w:val="828"/>
        <w:pBdr/>
        <w:spacing/>
        <w:ind/>
        <w:rPr>
          <w:rFonts w:ascii="Arial" w:hAnsi="Arial" w:cs="Arial"/>
          <w:b/>
          <w:bCs/>
          <w:color w:val="000000"/>
        </w:rPr>
      </w:pPr>
      <w:r>
        <w:rPr>
          <w:rFonts w:ascii="Arial" w:hAnsi="Arial" w:cs="Arial"/>
          <w:b/>
          <w:bCs/>
          <w:color w:val="000000"/>
        </w:rPr>
      </w:r>
      <w:r>
        <w:rPr>
          <w:rFonts w:ascii="Arial" w:hAnsi="Arial" w:cs="Arial"/>
          <w:b/>
          <w:bCs/>
          <w:color w:val="000000"/>
        </w:rPr>
      </w:r>
    </w:p>
    <w:p>
      <w:pPr>
        <w:pStyle w:val="828"/>
        <w:pBdr/>
        <w:spacing/>
        <w:ind w:left="284"/>
        <w:jc w:val="both"/>
        <w:rPr>
          <w:rFonts w:ascii="Arial" w:hAnsi="Arial" w:cs="Arial"/>
        </w:rPr>
      </w:pPr>
      <w:r>
        <w:rPr>
          <w:rFonts w:ascii="Arial" w:hAnsi="Arial" w:cs="Arial"/>
          <w:b/>
        </w:rPr>
        <w:t xml:space="preserve">16.10.1.</w:t>
      </w:r>
      <w:r>
        <w:rPr>
          <w:rFonts w:ascii="Arial" w:hAnsi="Arial" w:cs="Arial"/>
        </w:rPr>
        <w:t xml:space="preserve"> Após a homologação da licitação, será incluído na ata, </w:t>
      </w:r>
      <w:r>
        <w:rPr>
          <w:rFonts w:ascii="Arial" w:hAnsi="Arial" w:cs="Arial"/>
        </w:rPr>
        <w:t xml:space="preserve">na forma de anexo, o registro:</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16.10.1.1.</w:t>
      </w:r>
      <w:r>
        <w:rPr>
          <w:rFonts w:ascii="Arial" w:hAnsi="Arial" w:cs="Arial"/>
        </w:rPr>
        <w:t xml:space="preserve"> Dos licitantes </w:t>
      </w:r>
      <w:bookmarkStart w:id="20" w:name="_Hlk132991372"/>
      <w:r>
        <w:rPr>
          <w:rFonts w:ascii="Arial" w:hAnsi="Arial" w:cs="Arial"/>
        </w:rPr>
        <w:t xml:space="preserve">que </w:t>
      </w:r>
      <w:bookmarkStart w:id="21" w:name="_Hlk132989696"/>
      <w:r>
        <w:rPr>
          <w:rFonts w:ascii="Arial" w:hAnsi="Arial" w:cs="Arial"/>
        </w:rPr>
        <w:t xml:space="preserve">aceitarem cotar o objeto com preço igual ao do adjudicatári</w:t>
      </w:r>
      <w:bookmarkEnd w:id="20"/>
      <w:r>
        <w:rPr>
          <w:rFonts w:ascii="Arial" w:hAnsi="Arial" w:cs="Arial"/>
        </w:rPr>
        <w:t xml:space="preserve">o</w:t>
      </w:r>
      <w:bookmarkEnd w:id="21"/>
      <w:r>
        <w:rPr>
          <w:rFonts w:ascii="Arial" w:hAnsi="Arial" w:cs="Arial"/>
        </w:rPr>
        <w:t xml:space="preserve">, observada a classificação na licitação; e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rPr>
        <w:t xml:space="preserve">16.10.1.2.</w:t>
      </w:r>
      <w:r>
        <w:rPr>
          <w:rFonts w:ascii="Arial" w:hAnsi="Arial" w:cs="Arial"/>
        </w:rPr>
        <w:t xml:space="preserve"> Dos licitantes que mantiverem sua proposta original;</w:t>
      </w:r>
      <w:r>
        <w:rPr>
          <w:rFonts w:ascii="Arial" w:hAnsi="Arial" w:cs="Arial"/>
        </w:rPr>
      </w:r>
    </w:p>
    <w:p>
      <w:pPr>
        <w:pStyle w:val="828"/>
        <w:pBdr/>
        <w:spacing/>
        <w:ind w:left="284"/>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16.10.2.</w:t>
      </w:r>
      <w:r>
        <w:rPr>
          <w:rFonts w:ascii="Arial" w:hAnsi="Arial" w:cs="Arial"/>
        </w:rPr>
        <w:t xml:space="preserve"> Será respeitada, nas contratações, a ordem de classificação dos licitantes ou fornecedores registrados na ata;</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16.10.2.1.</w:t>
      </w:r>
      <w:r>
        <w:rPr>
          <w:rFonts w:ascii="Arial" w:hAnsi="Arial" w:cs="Arial"/>
        </w:rPr>
        <w:t xml:space="preserve"> A apresentação de novas propostas na forma deste item não prejudicará o resultado do certame em relação ao licitante melhor classificado;</w:t>
      </w: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16.10.2.2.</w:t>
      </w:r>
      <w:r>
        <w:rPr>
          <w:rFonts w:ascii="Arial" w:hAnsi="Arial" w:cs="Arial"/>
        </w:rPr>
        <w:t xml:space="preserve"> Para fins da ordem de classificação, os licitantes ou fornecedores que aceitarem cotar o objeto com preço igual ao do adjudicatário antecederão aqueles que mantiverem sua proposta original;</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rPr>
        <w:t xml:space="preserve">16.10.3.</w:t>
      </w:r>
      <w:r>
        <w:rPr>
          <w:rFonts w:ascii="Arial" w:hAnsi="Arial" w:cs="Arial"/>
        </w:rPr>
        <w:t xml:space="preserve"> A habilitação dos licitantes que comporão o cadastro de reserva será efetuada quando houver necessidade de contratação dos licitantes remanescentes, nas seguintes hipóteses:</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16.10.3.1.</w:t>
      </w:r>
      <w:r>
        <w:rPr>
          <w:rFonts w:ascii="Arial" w:hAnsi="Arial" w:cs="Arial"/>
        </w:rPr>
        <w:t xml:space="preserve"> Quando o licitante vencedor não assinar a ata de registro de preços no prazo e nas condições estabelecidos no edi</w:t>
      </w:r>
      <w:r>
        <w:rPr>
          <w:rFonts w:ascii="Arial" w:hAnsi="Arial" w:cs="Arial"/>
        </w:rPr>
        <w:t xml:space="preserve">tal; ou</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16.10.3.2.</w:t>
      </w:r>
      <w:r>
        <w:rPr>
          <w:rFonts w:ascii="Arial" w:hAnsi="Arial" w:cs="Arial"/>
        </w:rPr>
        <w:t xml:space="preserve"> Quando houver o cancelamento do registro do fornecedor ou do registro de preços;</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16.10.4.</w:t>
      </w:r>
      <w:r>
        <w:rPr>
          <w:rFonts w:ascii="Arial" w:hAnsi="Arial" w:cs="Arial"/>
        </w:rPr>
        <w:t xml:space="preserve"> Na hipótese de nenhum dos licitantes que aceitaram cotar o objet</w:t>
      </w:r>
      <w:r>
        <w:rPr>
          <w:rFonts w:ascii="Arial" w:hAnsi="Arial" w:cs="Arial"/>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rPr>
        <w:t xml:space="preserve">16.10.4.1. </w:t>
      </w:r>
      <w:r>
        <w:rPr>
          <w:rFonts w:ascii="Arial" w:hAnsi="Arial" w:cs="Arial"/>
        </w:rPr>
        <w:t xml:space="preserve">Convocar os licitantes que mantiveram sua proposta original para neg</w:t>
      </w:r>
      <w:r>
        <w:rPr>
          <w:rFonts w:ascii="Arial" w:hAnsi="Arial" w:cs="Arial"/>
        </w:rPr>
        <w:t xml:space="preserve">ociação, na ordem de classificação, com vistas à obtenção de preço melhor, mesmo que acima do preço do adjudicatário; ou</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rPr>
        <w:t xml:space="preserve">16.10.4.2. </w:t>
      </w:r>
      <w:r>
        <w:rPr>
          <w:rFonts w:ascii="Arial" w:hAnsi="Arial" w:cs="Arial"/>
        </w:rPr>
        <w:t xml:space="preserve">Adjudicar e firmar o contrato nas condições ofertadas pelos licitantes remanescentes, observada a ordem de classificação, quando frustrada a negociação de melhor condição.</w:t>
      </w:r>
      <w:r>
        <w:rPr>
          <w:rFonts w:ascii="Arial" w:hAnsi="Arial" w:cs="Arial"/>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color w:val="000000"/>
        </w:rPr>
        <w:t xml:space="preserve">16.11. DA MOTIVAÇÃO PARA NÃO ADESÃO A ARP ("CARONA"):</w:t>
      </w:r>
      <w:r>
        <w:rPr>
          <w:rFonts w:ascii="Arial" w:hAnsi="Arial" w:cs="Arial"/>
        </w:rPr>
      </w:r>
      <w:r>
        <w:rPr>
          <w:rFonts w:ascii="Arial" w:hAnsi="Arial" w:cs="Arial"/>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left="284"/>
        <w:jc w:val="both"/>
        <w:rPr>
          <w:rFonts w:ascii="Arial" w:hAnsi="Arial" w:cs="Arial"/>
        </w:rPr>
      </w:pPr>
      <w:r>
        <w:rPr>
          <w:rFonts w:ascii="Arial" w:hAnsi="Arial" w:cs="Arial"/>
          <w:b/>
          <w:color w:val="000000"/>
        </w:rPr>
        <w:t xml:space="preserve">16.11.1.</w:t>
      </w:r>
      <w:r>
        <w:rPr>
          <w:rFonts w:ascii="Arial" w:hAnsi="Arial" w:cs="Arial"/>
          <w:color w:val="000000"/>
        </w:rPr>
        <w:t xml:space="preserve"> Por falta de justificativa ou motivação por parte das unidades demandantes a clausula foi excluída, conforme orientação do TCU: “A inserção de</w:t>
      </w:r>
      <w:r>
        <w:rPr>
          <w:rFonts w:ascii="Arial" w:hAnsi="Arial" w:cs="Arial"/>
          <w:color w:val="000000"/>
        </w:rPr>
        <w:t xml:space="preserve"> cláusula em edital licitatório prevendo a possibilidade de adesão a ata de registro de preços por órgãos ou entidades não participante</w:t>
      </w:r>
      <w:r>
        <w:rPr>
          <w:rFonts w:ascii="Arial" w:hAnsi="Arial" w:cs="Arial"/>
          <w:color w:val="000000"/>
        </w:rPr>
        <w:t xml:space="preserve">s do planejamento da contratação ("carona") exige justificativa específica, lastreada em estudo técnico referente ao objeto licitado e devidamente registrada no documento de planejamento da contratação.” (Acórdão 311/2018-Plenário | Relator: BRUNO DANTAS).</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u w:val="single"/>
        </w:rPr>
      </w:pPr>
      <w:r>
        <w:rPr>
          <w:rFonts w:ascii="Arial" w:hAnsi="Arial" w:cs="Arial"/>
          <w:b/>
          <w:color w:val="000000"/>
          <w:u w:val="single"/>
        </w:rPr>
        <w:t xml:space="preserve">16.11.2.</w:t>
      </w:r>
      <w:r>
        <w:rPr>
          <w:rFonts w:ascii="Arial" w:hAnsi="Arial" w:cs="Arial"/>
          <w:color w:val="000000"/>
          <w:u w:val="single"/>
        </w:rPr>
        <w:t xml:space="preserve"> Fica vedada à participação do órgão ou entidade em mais de uma ata de registro de preços com o mesmo objeto no</w:t>
      </w:r>
      <w:r>
        <w:rPr>
          <w:rFonts w:ascii="Arial" w:hAnsi="Arial" w:cs="Arial"/>
          <w:color w:val="000000"/>
          <w:u w:val="single"/>
        </w:rPr>
        <w:t xml:space="preserve"> prazo de validade daquela de que já tiver participado, salvo na ocorrência de ata que tenha registrado quantitativo inferior ao máximo previsto no edital; (Art.82 Inciso VIII, Lei 14.133/2021)</w:t>
      </w:r>
      <w:r>
        <w:rPr>
          <w:rFonts w:ascii="Arial" w:hAnsi="Arial" w:cs="Arial"/>
          <w:u w:val="single"/>
        </w:rPr>
      </w:r>
      <w:r>
        <w:rPr>
          <w:rFonts w:ascii="Arial" w:hAnsi="Arial" w:cs="Arial"/>
          <w:u w:val="single"/>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9"/>
        <w:pBdr/>
        <w:spacing w:after="0" w:before="0"/>
        <w:ind/>
        <w:rPr>
          <w:sz w:val="20"/>
          <w:szCs w:val="20"/>
          <w:lang w:val="pt-BR"/>
        </w:rPr>
      </w:pPr>
      <w:r>
        <w:rPr>
          <w:rFonts w:eastAsia="SimSun"/>
          <w:sz w:val="20"/>
          <w:szCs w:val="20"/>
          <w:lang w:val="pt-BR"/>
        </w:rPr>
        <w:t xml:space="preserve">17. DOS RECURSOS SOBRE PROPOSTA, HABILITAÇÃO OU INABILITAÇÃO DE LICITANTES:</w:t>
      </w:r>
      <w:r>
        <w:rPr>
          <w:sz w:val="20"/>
          <w:szCs w:val="20"/>
          <w:lang w:val="pt-BR"/>
        </w:rPr>
      </w:r>
      <w:r>
        <w:rPr>
          <w:sz w:val="20"/>
          <w:szCs w:val="20"/>
          <w:lang w:val="pt-BR"/>
        </w:rPr>
      </w:r>
    </w:p>
    <w:p>
      <w:pPr>
        <w:pStyle w:val="828"/>
        <w:pBdr/>
        <w:spacing/>
        <w:ind/>
        <w:rPr>
          <w:rFonts w:ascii="Arial" w:hAnsi="Arial" w:eastAsia="SimSun" w:cs="Arial"/>
          <w:b/>
        </w:rPr>
      </w:pPr>
      <w:r>
        <w:rPr>
          <w:rFonts w:ascii="Arial" w:hAnsi="Arial" w:eastAsia="SimSun" w:cs="Arial"/>
          <w:b/>
        </w:rPr>
      </w:r>
      <w:r>
        <w:rPr>
          <w:rFonts w:ascii="Arial" w:hAnsi="Arial" w:eastAsia="SimSun" w:cs="Arial"/>
          <w:b/>
        </w:rPr>
      </w:r>
    </w:p>
    <w:p>
      <w:pPr>
        <w:pStyle w:val="828"/>
        <w:pBdr/>
        <w:spacing/>
        <w:ind/>
        <w:jc w:val="both"/>
        <w:rPr>
          <w:rFonts w:ascii="Arial" w:hAnsi="Arial" w:cs="Arial"/>
        </w:rPr>
      </w:pPr>
      <w:r>
        <w:rPr>
          <w:rFonts w:ascii="Arial" w:hAnsi="Arial" w:cs="Arial"/>
          <w:b/>
          <w:color w:val="000000"/>
        </w:rPr>
        <w:t xml:space="preserve">17.1.</w:t>
      </w:r>
      <w:r>
        <w:rPr>
          <w:rFonts w:ascii="Arial" w:hAnsi="Arial" w:cs="Arial"/>
          <w:color w:val="000000"/>
        </w:rPr>
        <w:t xml:space="preserve"> Ao final da sessão </w:t>
      </w:r>
      <w:r>
        <w:rPr>
          <w:rFonts w:ascii="Arial" w:hAnsi="Arial" w:cs="Arial"/>
          <w:b/>
          <w:color w:val="000000"/>
        </w:rPr>
        <w:t xml:space="preserve">Declarado o(s) Vencedor(es)</w:t>
      </w:r>
      <w:r>
        <w:rPr>
          <w:rFonts w:ascii="Arial" w:hAnsi="Arial" w:cs="Arial"/>
          <w:color w:val="000000"/>
        </w:rPr>
        <w:t xml:space="preserve">, qualquer licitante poderá, </w:t>
      </w:r>
      <w:r>
        <w:rPr>
          <w:rFonts w:ascii="Arial" w:hAnsi="Arial" w:cs="Arial"/>
          <w:color w:val="000000"/>
          <w:shd w:val="clear" w:color="auto" w:fill="ffffff"/>
        </w:rPr>
        <w:t xml:space="preserve">durante o </w:t>
      </w:r>
      <w:r>
        <w:rPr>
          <w:rFonts w:ascii="Arial" w:hAnsi="Arial" w:cs="Arial"/>
          <w:b/>
          <w:color w:val="000000"/>
          <w:shd w:val="clear" w:color="auto" w:fill="ffffff"/>
        </w:rPr>
        <w:t xml:space="preserve">prazo de 60 (sessenta) minutos</w:t>
      </w:r>
      <w:r>
        <w:rPr>
          <w:rFonts w:ascii="Arial" w:hAnsi="Arial" w:cs="Arial"/>
          <w:color w:val="000000"/>
          <w:shd w:val="clear" w:color="auto" w:fill="ffffff"/>
        </w:rPr>
        <w:t xml:space="preserve">, </w:t>
      </w:r>
      <w:r>
        <w:rPr>
          <w:rFonts w:ascii="Arial" w:hAnsi="Arial" w:cs="Arial"/>
          <w:color w:val="000000"/>
        </w:rPr>
        <w:t xml:space="preserve">de forma imediata, em campo próprio </w:t>
      </w:r>
      <w:r>
        <w:rPr>
          <w:rFonts w:ascii="Arial" w:hAnsi="Arial" w:cs="Arial"/>
        </w:rPr>
        <w:t xml:space="preserve">no sítio eletrônico</w:t>
      </w:r>
      <w:r>
        <w:rPr>
          <w:rFonts w:ascii="Arial" w:hAnsi="Arial" w:cs="Arial"/>
          <w:color w:val="000000"/>
        </w:rPr>
        <w:t xml:space="preserve"> </w:t>
      </w:r>
      <w:r>
        <w:rPr>
          <w:rFonts w:ascii="Arial" w:hAnsi="Arial" w:cs="Arial"/>
        </w:rPr>
        <w:fldChar w:fldCharType="begin"/>
      </w:r>
      <w:r>
        <w:rPr>
          <w:rFonts w:ascii="Arial" w:hAnsi="Arial" w:cs="Arial"/>
        </w:rPr>
        <w:instrText xml:space="preserve"> HYPERLINK "mailto:bllcompras.com"</w:instrText>
      </w:r>
      <w:r>
        <w:rPr>
          <w:rFonts w:ascii="Arial" w:hAnsi="Arial" w:cs="Arial"/>
        </w:rPr>
        <w:fldChar w:fldCharType="separate"/>
      </w:r>
      <w:r>
        <w:rPr>
          <w:rStyle w:val="900"/>
          <w:rFonts w:ascii="Arial" w:hAnsi="Arial" w:cs="Arial"/>
          <w:b/>
        </w:rPr>
        <w:t xml:space="preserve">bllcompras.com</w:t>
      </w:r>
      <w:r>
        <w:rPr>
          <w:rFonts w:ascii="Arial" w:hAnsi="Arial" w:cs="Arial"/>
        </w:rPr>
        <w:fldChar w:fldCharType="end"/>
      </w:r>
      <w:r>
        <w:rPr>
          <w:rFonts w:ascii="Arial" w:hAnsi="Arial" w:cs="Arial"/>
          <w:color w:val="000000"/>
        </w:rPr>
        <w:t xml:space="preserve">, manifes</w:t>
      </w:r>
      <w:r>
        <w:rPr>
          <w:rFonts w:ascii="Arial" w:hAnsi="Arial" w:cs="Arial"/>
          <w:color w:val="000000"/>
        </w:rPr>
        <w:t xml:space="preserve">tar sua intenção de recorrer, impugnando o julgamento da(s) proposta(s) ou o ato de habilitação ou inabilitação do(s) licitante(s), sob pena de preclusão desse direito;</w:t>
      </w:r>
      <w:r>
        <w:rPr>
          <w:rFonts w:ascii="Arial" w:hAnsi="Arial" w:cs="Arial"/>
        </w:rPr>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left="284"/>
        <w:jc w:val="both"/>
        <w:rPr>
          <w:rFonts w:ascii="Arial" w:hAnsi="Arial" w:cs="Arial"/>
        </w:rPr>
      </w:pPr>
      <w:r>
        <w:rPr>
          <w:rFonts w:ascii="Arial" w:hAnsi="Arial" w:cs="Arial"/>
          <w:b/>
        </w:rPr>
        <w:t xml:space="preserve">17.1.1.</w:t>
      </w:r>
      <w:r>
        <w:rPr>
          <w:rFonts w:ascii="Arial" w:hAnsi="Arial" w:cs="Arial"/>
        </w:rPr>
        <w:t xml:space="preserve"> A interposição de recurso referente ao julgamento das propostas, à habilitação ou inabilitação de licitantes, à anulação ou revogação da licitação, observará o disposto no </w:t>
      </w:r>
      <w:r>
        <w:rPr>
          <w:rFonts w:ascii="Arial" w:hAnsi="Arial" w:cs="Arial"/>
        </w:rPr>
        <w:fldChar w:fldCharType="begin"/>
      </w:r>
      <w:r>
        <w:rPr>
          <w:rFonts w:ascii="Arial" w:hAnsi="Arial" w:cs="Arial"/>
        </w:rPr>
        <w:instrText xml:space="preserve"> HYPERLINK "http://www.planalto.gov.br/ccivil_03/_ato2019-2022/2021/lei/L14133.htm" \l "art165"</w:instrText>
      </w:r>
      <w:r>
        <w:rPr>
          <w:rFonts w:ascii="Arial" w:hAnsi="Arial" w:cs="Arial"/>
        </w:rPr>
        <w:fldChar w:fldCharType="separate"/>
      </w:r>
      <w:r>
        <w:rPr>
          <w:rStyle w:val="900"/>
          <w:rFonts w:ascii="Arial" w:hAnsi="Arial" w:cs="Arial"/>
        </w:rPr>
        <w:t xml:space="preserve">art. 165 da Lei nº 14.133, de 2021</w:t>
      </w:r>
      <w:r>
        <w:rPr>
          <w:rFonts w:ascii="Arial" w:hAnsi="Arial" w:cs="Arial"/>
        </w:rPr>
        <w:fldChar w:fldCharType="end"/>
      </w:r>
      <w:r>
        <w:rPr>
          <w:rFonts w:ascii="Arial" w:hAnsi="Arial" w:cs="Arial"/>
        </w:rPr>
        <w:t xml:space="preserve">;</w:t>
      </w:r>
      <w:r>
        <w:rPr>
          <w:rFonts w:ascii="Arial" w:hAnsi="Arial" w:cs="Arial"/>
        </w:rPr>
      </w:r>
    </w:p>
    <w:p>
      <w:pPr>
        <w:pStyle w:val="828"/>
        <w:pBdr/>
        <w:spacing/>
        <w:ind w:left="284"/>
        <w:jc w:val="both"/>
        <w:rPr>
          <w:rFonts w:ascii="Arial" w:hAnsi="Arial" w:cs="Arial"/>
        </w:rPr>
      </w:pPr>
      <w:r>
        <w:rPr>
          <w:rFonts w:ascii="Arial" w:hAnsi="Arial" w:eastAsia="Arial" w:cs="Arial"/>
          <w:color w:val="00000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12529"/>
          <w:shd w:val="clear" w:color="auto" w:fill="ffffff"/>
        </w:rPr>
        <w:t xml:space="preserve">17.2.</w:t>
      </w:r>
      <w:r>
        <w:rPr>
          <w:rFonts w:ascii="Arial" w:hAnsi="Arial" w:cs="Arial"/>
          <w:color w:val="212529"/>
          <w:shd w:val="clear" w:color="auto" w:fill="ffffff"/>
        </w:rPr>
        <w:t xml:space="preserve"> A ausência de manif</w:t>
      </w:r>
      <w:r>
        <w:rPr>
          <w:rFonts w:ascii="Arial" w:hAnsi="Arial" w:cs="Arial"/>
          <w:color w:val="212529"/>
          <w:shd w:val="clear" w:color="auto" w:fill="ffffff"/>
        </w:rPr>
        <w:t xml:space="preserve">estação imediata e motivada do licitante nos termos do disposto no </w:t>
      </w:r>
      <w:r>
        <w:rPr>
          <w:rFonts w:ascii="Arial" w:hAnsi="Arial" w:cs="Arial"/>
          <w:b/>
          <w:color w:val="212529"/>
          <w:shd w:val="clear" w:color="auto" w:fill="ffffff"/>
        </w:rPr>
        <w:t xml:space="preserve">item 16.1</w:t>
      </w:r>
      <w:r>
        <w:rPr>
          <w:rFonts w:ascii="Arial" w:hAnsi="Arial" w:cs="Arial"/>
          <w:color w:val="212529"/>
          <w:shd w:val="clear" w:color="auto" w:fill="ffffff"/>
        </w:rPr>
        <w:t xml:space="preserve">, importará na decadência </w:t>
      </w:r>
      <w:r>
        <w:rPr>
          <w:rFonts w:ascii="Arial" w:hAnsi="Arial" w:cs="Arial"/>
        </w:rPr>
        <w:t xml:space="preserve">do direito de recurso</w:t>
      </w:r>
      <w:r>
        <w:rPr>
          <w:rFonts w:ascii="Arial" w:hAnsi="Arial" w:cs="Arial"/>
          <w:color w:val="212529"/>
          <w:shd w:val="clear" w:color="auto" w:fill="ffffff"/>
        </w:rPr>
        <w:t xml:space="preserve">, e o Pregoeiro estará autorizado a adjudicar o objeto ao licitante declarado vencedor;</w:t>
      </w:r>
      <w:r>
        <w:rPr>
          <w:rFonts w:ascii="Arial" w:hAnsi="Arial" w:cs="Arial"/>
        </w:rPr>
      </w:r>
      <w:r>
        <w:rPr>
          <w:rFonts w:ascii="Arial" w:hAnsi="Arial" w:cs="Arial"/>
        </w:rPr>
      </w:r>
    </w:p>
    <w:p>
      <w:pPr>
        <w:pStyle w:val="828"/>
        <w:pBdr/>
        <w:spacing/>
        <w:ind w:left="284"/>
        <w:jc w:val="both"/>
        <w:rPr>
          <w:rFonts w:ascii="Arial" w:hAnsi="Arial" w:cs="Arial"/>
          <w:color w:val="212529"/>
          <w:shd w:val="clear" w:color="auto" w:fill="ffffff"/>
        </w:rPr>
      </w:pPr>
      <w:r>
        <w:rPr>
          <w:rFonts w:ascii="Arial" w:hAnsi="Arial" w:cs="Arial"/>
          <w:color w:val="212529"/>
          <w:shd w:val="clear" w:color="auto" w:fill="ffffff"/>
        </w:rPr>
      </w:r>
      <w:r>
        <w:rPr>
          <w:rFonts w:ascii="Arial" w:hAnsi="Arial" w:cs="Arial"/>
          <w:color w:val="212529"/>
          <w:shd w:val="clear" w:color="auto" w:fill="ffffff"/>
        </w:rPr>
      </w:r>
    </w:p>
    <w:p>
      <w:pPr>
        <w:pStyle w:val="828"/>
        <w:pBdr/>
        <w:spacing/>
        <w:ind/>
        <w:jc w:val="both"/>
        <w:rPr>
          <w:rFonts w:ascii="Arial" w:hAnsi="Arial" w:cs="Arial"/>
        </w:rPr>
      </w:pPr>
      <w:r>
        <w:rPr>
          <w:rFonts w:ascii="Arial" w:hAnsi="Arial" w:cs="Arial"/>
          <w:b/>
        </w:rPr>
        <w:t xml:space="preserve">17.3.</w:t>
      </w:r>
      <w:r>
        <w:rPr>
          <w:rFonts w:ascii="Arial" w:hAnsi="Arial" w:cs="Arial"/>
        </w:rPr>
        <w:t xml:space="preserve"> Só será acatado o recurso em memorial descritivo, a mensagem postada no site só servirá para efeito de manifestação de intenção de recorrer.</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17.4.</w:t>
      </w:r>
      <w:r>
        <w:rPr>
          <w:rFonts w:ascii="Arial" w:hAnsi="Arial" w:cs="Arial"/>
        </w:rPr>
        <w:t xml:space="preserve"> A alegação apresentada no memorial do recurso deverá relacionar-se com as razões indicadas pela licitante no momento da sessão pública, sob pena d</w:t>
      </w:r>
      <w:r>
        <w:rPr>
          <w:rFonts w:ascii="Arial" w:hAnsi="Arial" w:cs="Arial"/>
        </w:rPr>
        <w:t xml:space="preserve">e não ser conhecido o recurso.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17.5.</w:t>
      </w:r>
      <w:r>
        <w:rPr>
          <w:rFonts w:ascii="Arial" w:hAnsi="Arial" w:cs="Arial"/>
        </w:rPr>
        <w:t xml:space="preserve"> </w:t>
      </w:r>
      <w:r>
        <w:rPr>
          <w:rFonts w:ascii="Arial" w:hAnsi="Arial" w:cs="Arial"/>
          <w:color w:val="000000"/>
        </w:rPr>
        <w:t xml:space="preserve">O prazo para apresentação das razões recursais</w:t>
      </w:r>
      <w:r>
        <w:rPr>
          <w:rFonts w:ascii="Arial" w:hAnsi="Arial" w:cs="Arial"/>
        </w:rPr>
        <w:t xml:space="preserve"> será de 3 (três) dias úteis, contados da data </w:t>
      </w:r>
      <w:r>
        <w:rPr>
          <w:rFonts w:ascii="Arial" w:hAnsi="Arial" w:cs="Arial"/>
          <w:color w:val="000000"/>
        </w:rPr>
        <w:t xml:space="preserve">de lavratura da ata de habilitação ou inabilitação ou da intimação conforme o caso;</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rPr>
      </w:pPr>
      <w:r>
        <w:rPr>
          <w:rFonts w:ascii="Arial" w:hAnsi="Arial" w:cs="Arial"/>
          <w:b/>
        </w:rPr>
        <w:t xml:space="preserve">17.6. </w:t>
      </w:r>
      <w:r>
        <w:rPr>
          <w:rFonts w:ascii="Arial" w:hAnsi="Arial" w:cs="Arial"/>
        </w:rPr>
        <w:t xml:space="preserve">O prazo para aprese</w:t>
      </w:r>
      <w:r>
        <w:rPr>
          <w:rFonts w:ascii="Arial" w:hAnsi="Arial" w:cs="Arial"/>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17.7. </w:t>
      </w:r>
      <w:r>
        <w:rPr>
          <w:rFonts w:ascii="Arial" w:hAnsi="Arial" w:cs="Arial"/>
        </w:rPr>
        <w:t xml:space="preserve">Os rec</w:t>
      </w:r>
      <w:r>
        <w:rPr>
          <w:rFonts w:ascii="Arial" w:hAnsi="Arial" w:cs="Arial"/>
        </w:rPr>
        <w:t xml:space="preserve">ursos e contrarrazões ao recurso deverão ser encaminhados exclusivamente em campo próprio no sítio eletrônico </w:t>
      </w:r>
      <w:r>
        <w:rPr>
          <w:rFonts w:ascii="Arial" w:hAnsi="Arial" w:cs="Arial"/>
          <w:color w:val="000000"/>
        </w:rPr>
        <w:t xml:space="preserve">bllcompras.com;</w:t>
      </w:r>
      <w:r>
        <w:rPr>
          <w:rFonts w:ascii="Arial" w:hAnsi="Arial" w:cs="Arial"/>
        </w:rPr>
      </w:r>
      <w:r>
        <w:rPr>
          <w:rFonts w:ascii="Arial" w:hAnsi="Arial" w:cs="Arial"/>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rPr>
      </w:pPr>
      <w:r>
        <w:rPr>
          <w:rFonts w:ascii="Arial" w:hAnsi="Arial" w:cs="Arial"/>
          <w:b/>
        </w:rPr>
        <w:t xml:space="preserve">17.8. </w:t>
      </w:r>
      <w:r>
        <w:rPr>
          <w:rFonts w:ascii="Arial" w:hAnsi="Arial" w:cs="Arial"/>
        </w:rPr>
        <w:t xml:space="preserve">Os recursos interpostos fora do prazo não serão conhecidos;</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color w:val="000000"/>
        </w:rPr>
      </w:pPr>
      <w:r>
        <w:rPr>
          <w:rFonts w:ascii="Arial" w:hAnsi="Arial" w:cs="Arial"/>
          <w:b/>
        </w:rPr>
        <w:t xml:space="preserve">17.9. </w:t>
      </w:r>
      <w:r>
        <w:rPr>
          <w:rFonts w:ascii="Arial" w:hAnsi="Arial" w:cs="Arial"/>
        </w:rPr>
        <w:t xml:space="preserve">Os autos do processo permanecerão com vista franqueada aos interessados no sítio eletrônico </w:t>
      </w:r>
      <w:r>
        <w:rPr>
          <w:rFonts w:ascii="Arial" w:hAnsi="Arial" w:cs="Arial"/>
          <w:color w:val="000000"/>
        </w:rPr>
        <w:t xml:space="preserve">bllcompras.com;</w:t>
      </w:r>
      <w:r>
        <w:rPr>
          <w:rFonts w:ascii="Arial" w:hAnsi="Arial" w:cs="Arial"/>
          <w:color w:val="000000"/>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17.10. </w:t>
      </w:r>
      <w:r>
        <w:rPr>
          <w:rFonts w:ascii="Arial" w:hAnsi="Arial" w:cs="Arial"/>
        </w:rPr>
        <w:t xml:space="preserve">O recurso e o pedido de reconsideração terão efeito suspensivo do ato ou da decisão recorrida até que sobrevenha decisão final da autoridade competente;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17.11. </w:t>
      </w:r>
      <w:r>
        <w:rPr>
          <w:rFonts w:ascii="Arial" w:hAnsi="Arial" w:cs="Arial"/>
        </w:rPr>
        <w:t xml:space="preserve">O acolhimento do recurso invalida </w:t>
      </w:r>
      <w:r>
        <w:rPr>
          <w:rFonts w:ascii="Arial" w:hAnsi="Arial" w:cs="Arial"/>
        </w:rPr>
        <w:t xml:space="preserve">tão somente os atos insuscetíveis de aproveitamento;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17.12. </w:t>
      </w:r>
      <w:r>
        <w:rPr>
          <w:rFonts w:ascii="Arial" w:hAnsi="Arial" w:cs="Arial"/>
        </w:rPr>
        <w:t xml:space="preserve">O recurso será dirigido à autoridade que tiver editado o ato ou proferido a decisã</w:t>
      </w:r>
      <w:r>
        <w:rPr>
          <w:rFonts w:ascii="Arial" w:hAnsi="Arial" w:cs="Arial"/>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9"/>
        <w:pBdr/>
        <w:spacing w:after="0" w:before="0"/>
        <w:ind/>
        <w:jc w:val="both"/>
        <w:rPr>
          <w:rFonts w:eastAsia="SimSun"/>
          <w:sz w:val="20"/>
          <w:szCs w:val="20"/>
          <w:lang w:val="pt-BR"/>
        </w:rPr>
      </w:pPr>
      <w:r/>
      <w:bookmarkStart w:id="22" w:name="__RefHeading___Toc190782024"/>
      <w:r/>
      <w:bookmarkEnd w:id="22"/>
      <w:r>
        <w:rPr>
          <w:rFonts w:eastAsia="SimSun"/>
          <w:sz w:val="20"/>
          <w:szCs w:val="20"/>
          <w:lang w:val="pt-BR"/>
        </w:rPr>
        <w:t xml:space="preserve">18. DA FORMA PARA ENTREGA DOS PRODUTOS E DAS REGRAS PARA RECEBIMENTOS PROVISÓRIO E DEFINITIVO, QUANDO FOR O CAS</w:t>
      </w:r>
      <w:r>
        <w:rPr>
          <w:rFonts w:eastAsia="SimSun"/>
          <w:sz w:val="20"/>
          <w:szCs w:val="20"/>
          <w:lang w:val="pt-BR"/>
        </w:rPr>
        <w:t xml:space="preserve">O:</w:t>
      </w:r>
      <w:r>
        <w:rPr>
          <w:rFonts w:eastAsia="SimSun"/>
          <w:sz w:val="20"/>
          <w:szCs w:val="20"/>
          <w:lang w:val="pt-BR"/>
        </w:rPr>
      </w:r>
      <w:r>
        <w:rPr>
          <w:rFonts w:eastAsia="SimSun"/>
          <w:sz w:val="20"/>
          <w:szCs w:val="20"/>
          <w:lang w:val="pt-BR"/>
        </w:rPr>
      </w:r>
    </w:p>
    <w:p>
      <w:pPr>
        <w:pStyle w:val="828"/>
        <w:pBdr/>
        <w:spacing/>
        <w:ind/>
        <w:rPr>
          <w:rFonts w:eastAsia="SimSun"/>
        </w:rPr>
      </w:pPr>
      <w:r>
        <w:rPr>
          <w:rFonts w:eastAsia="SimSun"/>
        </w:rPr>
      </w:r>
      <w:r>
        <w:rPr>
          <w:rFonts w:eastAsia="SimSun"/>
        </w:rPr>
      </w:r>
    </w:p>
    <w:p>
      <w:pPr>
        <w:pStyle w:val="828"/>
        <w:pBdr/>
        <w:tabs>
          <w:tab w:val="left" w:leader="none" w:pos="3514"/>
        </w:tabs>
        <w:spacing/>
        <w:ind/>
        <w:jc w:val="both"/>
        <w:rPr>
          <w:rFonts w:ascii="Arial" w:hAnsi="Arial" w:cs="Arial"/>
        </w:rPr>
      </w:pPr>
      <w:r>
        <w:rPr>
          <w:rFonts w:ascii="Arial" w:hAnsi="Arial" w:cs="Arial"/>
          <w:b/>
        </w:rPr>
        <w:t xml:space="preserve">18.1.</w:t>
      </w:r>
      <w:r>
        <w:rPr>
          <w:rFonts w:ascii="Arial" w:hAnsi="Arial" w:cs="Arial"/>
        </w:rPr>
        <w:t xml:space="preserve"> A execução do fornecimento terá i</w:t>
      </w:r>
      <w:r>
        <w:rPr>
          <w:rFonts w:ascii="Arial" w:hAnsi="Arial" w:cs="Arial"/>
        </w:rPr>
        <w:t xml:space="preserve">nício a partir do efetivo recebimento, pelo fornecedor, da Ordem de Fornecimento e/ou Nota de Empenho emitida pela Secretaria requisitante, que constituirá o marco inicial formal para a entrega dos produtos, aplicando-se individualmente a cada solicitação.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18.2.</w:t>
      </w:r>
      <w:r>
        <w:rPr>
          <w:rFonts w:ascii="Arial" w:hAnsi="Arial" w:cs="Arial"/>
        </w:rPr>
        <w:t xml:space="preserve"> O prazo máximo para a entrega d</w:t>
      </w:r>
      <w:r>
        <w:rPr>
          <w:rFonts w:ascii="Arial" w:hAnsi="Arial" w:cs="Arial"/>
        </w:rPr>
        <w:t xml:space="preserve">o</w:t>
      </w:r>
      <w:r>
        <w:rPr>
          <w:rFonts w:ascii="Arial" w:hAnsi="Arial" w:cs="Arial"/>
        </w:rPr>
        <w:t xml:space="preserve"> </w:t>
      </w:r>
      <w:r>
        <w:rPr>
          <w:rFonts w:ascii="Arial" w:hAnsi="Arial" w:cs="Arial"/>
        </w:rPr>
        <w:t xml:space="preserve">objeto licitado</w:t>
      </w:r>
      <w:r>
        <w:rPr>
          <w:rFonts w:ascii="Arial" w:hAnsi="Arial" w:cs="Arial"/>
        </w:rPr>
        <w:t xml:space="preserve"> será de até 30 (trinta) dias corridos, contados do efetivo recebimento, pelo fornecedor, da Ordem de Fornecimento e/ou Nota de Empenho</w:t>
      </w:r>
      <w:r>
        <w:rPr>
          <w:rFonts w:ascii="Arial" w:hAnsi="Arial" w:cs="Arial"/>
        </w:rPr>
        <w:t xml:space="preserve"> ou instrumento equiva</w:t>
      </w:r>
      <w:r>
        <w:rPr>
          <w:rFonts w:ascii="Arial" w:hAnsi="Arial" w:cs="Arial"/>
        </w:rPr>
        <w:t xml:space="preserve">lente</w:t>
      </w:r>
      <w:r>
        <w:rPr>
          <w:rFonts w:ascii="Arial" w:hAnsi="Arial" w:cs="Arial"/>
        </w:rPr>
        <w:t xml:space="preserve">.</w:t>
      </w:r>
      <w:r>
        <w:rPr>
          <w:rFonts w:ascii="Arial" w:hAnsi="Arial" w:cs="Arial"/>
        </w:rPr>
      </w:r>
    </w:p>
    <w:p>
      <w:pPr>
        <w:pStyle w:val="828"/>
        <w:pBdr/>
        <w:tabs>
          <w:tab w:val="left" w:leader="none" w:pos="3514"/>
        </w:tabs>
        <w:spacing/>
        <w:ind/>
        <w:jc w:val="both"/>
        <w:rPr>
          <w:rFonts w:ascii="Arial" w:hAnsi="Arial" w:cs="Arial"/>
          <w:b/>
        </w:rPr>
      </w:pPr>
      <w:r>
        <w:rPr>
          <w:rFonts w:ascii="Arial" w:hAnsi="Arial" w:cs="Arial"/>
          <w:b/>
        </w:rPr>
      </w:r>
      <w:r>
        <w:rPr>
          <w:rFonts w:ascii="Arial" w:hAnsi="Arial" w:cs="Arial"/>
          <w:b/>
        </w:rPr>
      </w:r>
    </w:p>
    <w:p>
      <w:pPr>
        <w:pStyle w:val="828"/>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rPr>
        <w:t xml:space="preserve">18.2.1.</w:t>
      </w:r>
      <w:r>
        <w:rPr>
          <w:rFonts w:ascii="Arial" w:hAnsi="Arial" w:cs="Arial"/>
        </w:rPr>
        <w:t xml:space="preserve"> </w:t>
      </w:r>
      <w:r>
        <w:rPr>
          <w:rFonts w:ascii="Arial" w:hAnsi="Arial" w:cs="Arial"/>
        </w:rPr>
        <w:t xml:space="preserve">Em caráter excepcional, o prazo para entrega do objeto poderá ser prorrogado, mediante solicitação formal da CONTRATADA, devidamente acompanhada de justificativa técnica fundamentada, desde que previamente analisada e</w:t>
      </w:r>
      <w:r>
        <w:rPr>
          <w:rFonts w:ascii="Arial" w:hAnsi="Arial" w:cs="Arial"/>
        </w:rPr>
        <w:t xml:space="preserve"> expressamente aprovada pela Administração (CONTRATANTE), por meio de decisão motivada, observados os princípios da legalidade, razoabilidade e interesse público, sem prejuízo da apuração de responsabilidades e eventual aplicação das penalidades cabíveis. </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18.3.</w:t>
      </w:r>
      <w:r>
        <w:rPr>
          <w:rFonts w:ascii="Arial" w:hAnsi="Arial" w:cs="Arial"/>
        </w:rPr>
        <w:t xml:space="preserve"> Os produtos dev</w:t>
      </w:r>
      <w:r>
        <w:rPr>
          <w:rFonts w:ascii="Arial" w:hAnsi="Arial" w:cs="Arial"/>
        </w:rPr>
        <w:t xml:space="preserve">erão ser entregues no local indicado na Ordem de Fornecimento, dentro dos limites territoriais do Município de Rondonópolis/MT, devendo tal informação constar da Nota de Empenho, da Ordem de Fornecimento ou de outro instrumento hábil.</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18.4.</w:t>
      </w:r>
      <w:r>
        <w:rPr>
          <w:rFonts w:ascii="Arial" w:hAnsi="Arial" w:cs="Arial"/>
        </w:rPr>
        <w:t xml:space="preserve"> A licitante vencedora, durante a execução contratual, deverá observar os seguintes requisitos quanto à entrega e à conferência dos produtos: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18.4.1.</w:t>
      </w:r>
      <w:r>
        <w:rPr>
          <w:rFonts w:ascii="Arial" w:hAnsi="Arial" w:cs="Arial"/>
        </w:rPr>
        <w:t xml:space="preserve"> Realizar a entrega d</w:t>
      </w:r>
      <w:r>
        <w:rPr>
          <w:rFonts w:ascii="Arial" w:hAnsi="Arial" w:cs="Arial"/>
        </w:rPr>
        <w:t xml:space="preserve">o</w:t>
      </w:r>
      <w:r>
        <w:rPr>
          <w:rFonts w:ascii="Arial" w:hAnsi="Arial" w:cs="Arial"/>
        </w:rPr>
        <w:t xml:space="preserve"> </w:t>
      </w:r>
      <w:r>
        <w:rPr>
          <w:rFonts w:ascii="Arial" w:hAnsi="Arial" w:cs="Arial"/>
        </w:rPr>
        <w:t xml:space="preserve">objeto licitado</w:t>
      </w:r>
      <w:r>
        <w:rPr>
          <w:rFonts w:ascii="Arial" w:hAnsi="Arial" w:cs="Arial"/>
        </w:rPr>
        <w:t xml:space="preserve"> nos locais indicados pela Secretaria Municipal de </w:t>
      </w:r>
      <w:r>
        <w:rPr>
          <w:rFonts w:ascii="Arial" w:hAnsi="Arial" w:cs="Arial"/>
        </w:rPr>
        <w:t xml:space="preserve">Saude</w:t>
      </w:r>
      <w:r>
        <w:rPr>
          <w:rFonts w:ascii="Arial" w:hAnsi="Arial" w:cs="Arial"/>
        </w:rPr>
        <w:t xml:space="preserve"> do Município de Rondonópol</w:t>
      </w:r>
      <w:r>
        <w:rPr>
          <w:rFonts w:ascii="Arial" w:hAnsi="Arial" w:cs="Arial"/>
        </w:rPr>
        <w:t xml:space="preserve">is/MT, dentro dos prazos, quantidades e condições estabelecidos neste Edital, no Termo de Referência e na Ata de Registro de Preços, quando houver;</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18.4.2.</w:t>
      </w:r>
      <w:r>
        <w:rPr>
          <w:rFonts w:ascii="Arial" w:hAnsi="Arial" w:cs="Arial"/>
        </w:rPr>
        <w:t xml:space="preserve"> Assegurar que os produtos fornecidos sejam novos, de primeiro uso, e estejam livres de defeitos de fabricação, danos, avarias ou quaisquer irregularidades que comprometam sua qualidade, apresentação ou funcionalidade;</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18.4.3.</w:t>
      </w:r>
      <w:r>
        <w:rPr>
          <w:rFonts w:ascii="Arial" w:hAnsi="Arial" w:cs="Arial"/>
        </w:rPr>
        <w:t xml:space="preserve"> Garantir que os itens entregues estejam em estrita conformidade com as especificações técnicas, quantitativos e padrões de quali</w:t>
      </w:r>
      <w:r>
        <w:rPr>
          <w:rFonts w:ascii="Arial" w:hAnsi="Arial" w:cs="Arial"/>
        </w:rPr>
        <w:t xml:space="preserve">dade definidos no Termo de Referência e neste Edital;</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18.4.4.</w:t>
      </w:r>
      <w:r>
        <w:rPr>
          <w:rFonts w:ascii="Arial" w:hAnsi="Arial" w:cs="Arial"/>
        </w:rPr>
        <w:t xml:space="preserve"> Proceder, quando solicitado, à conferência e verificação dos produtos em conjunto com a fiscalização designada pela Administração;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18.4.5.</w:t>
      </w:r>
      <w:r>
        <w:rPr>
          <w:rFonts w:ascii="Arial" w:hAnsi="Arial" w:cs="Arial"/>
        </w:rPr>
        <w:t xml:space="preserve"> Realizar, sem ônus adicional para a Administração, os ajustes necessários, bem como a substituição dos produtos que apresentarem defeitos, inconformidades, divergências ou qualquer desacordo em relação às especificações contratadas;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18.4.6</w:t>
      </w:r>
      <w:r>
        <w:rPr>
          <w:rFonts w:ascii="Arial" w:hAnsi="Arial" w:cs="Arial"/>
        </w:rPr>
        <w:t xml:space="preserve">. </w:t>
      </w:r>
      <w:r>
        <w:rPr>
          <w:rFonts w:ascii="Arial" w:hAnsi="Arial" w:cs="Arial"/>
        </w:rPr>
        <w:t xml:space="preserve">Atender às solicitações de testes, inspeções, avaliações técnicas, </w:t>
      </w:r>
      <w:r>
        <w:rPr>
          <w:rFonts w:ascii="Arial" w:hAnsi="Arial" w:cs="Arial"/>
        </w:rPr>
        <w:t xml:space="preserve">amostragens ou conferências de qualidade eventualmente exigidas pela CONT</w:t>
      </w:r>
      <w:r>
        <w:rPr>
          <w:rFonts w:ascii="Arial" w:hAnsi="Arial" w:cs="Arial"/>
        </w:rPr>
        <w:t xml:space="preserve">RATANTE, especialmente no que se refere ao desempenho, funcionalidade, segurança, durabilidade e conformidade dos equipamentos, ferramentas e materiais fornecidos, em relação às especificações técnicas estabelecidas no Termo de Referência e neste Contrato.</w:t>
      </w:r>
      <w:r>
        <w:rPr>
          <w:rFonts w:ascii="Arial" w:hAnsi="Arial" w:cs="Arial"/>
        </w:rPr>
        <w:t xml:space="preserve">.</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18.7.</w:t>
      </w:r>
      <w:r>
        <w:rPr>
          <w:rFonts w:ascii="Arial" w:hAnsi="Arial" w:cs="Arial"/>
        </w:rPr>
        <w:t xml:space="preserve"> O fornecedor deverá observar os horários e locais definidos pelos órgãos participantes e atender às exigências legais aplicáveis à comercialização e ao fornecimento, além dos</w:t>
      </w:r>
      <w:r>
        <w:rPr>
          <w:rFonts w:ascii="Arial" w:hAnsi="Arial" w:cs="Arial"/>
        </w:rPr>
        <w:t xml:space="preserve"> padrões e condições estabelecidos no Termo de Referência e neste Edital.</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18.8.</w:t>
      </w:r>
      <w:r>
        <w:rPr>
          <w:rFonts w:ascii="Arial" w:hAnsi="Arial" w:cs="Arial"/>
        </w:rPr>
        <w:t xml:space="preserve"> Os produtos deverão ser entregues devidamente acondicionados, em embalagem adequada à sua conservação e transporte, de modo a preservar sua integridade, qualidade e apresentação até o recebimento pela Administração.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18.9</w:t>
      </w:r>
      <w:r>
        <w:rPr>
          <w:rFonts w:ascii="Arial" w:hAnsi="Arial" w:cs="Arial"/>
        </w:rPr>
        <w:t xml:space="preserve">. Do recebimento provisório e definitivo: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18.9.1.</w:t>
      </w:r>
      <w:r>
        <w:rPr>
          <w:rFonts w:ascii="Arial" w:hAnsi="Arial" w:cs="Arial"/>
        </w:rPr>
        <w:t xml:space="preserve"> O recebimento dos materiais será realizado, inicialmente, de forma provisória, no ato da entrega, para verificação das quantidades, das especificações técnicas</w:t>
      </w:r>
      <w:r>
        <w:rPr>
          <w:rFonts w:ascii="Arial" w:hAnsi="Arial" w:cs="Arial"/>
        </w:rPr>
        <w:t xml:space="preserve">, da qualidade e da conformidade com as condições estabelecidas neste Edital, no Termo de Referência e na proposta da contratada.</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18.9.2.</w:t>
      </w:r>
      <w:r>
        <w:rPr>
          <w:rFonts w:ascii="Arial" w:hAnsi="Arial" w:cs="Arial"/>
        </w:rPr>
        <w:t xml:space="preserve"> O recebimento definitivo ocorrerá após a verificação detalhada da conformidade dos materiais com as especificações contratadas, no prazo de até 05 (cinco) dias úteis, mediante ateste do servidor responsável pela fiscalização contratual.</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18.9.3.</w:t>
      </w:r>
      <w:r>
        <w:rPr>
          <w:rFonts w:ascii="Arial" w:hAnsi="Arial" w:cs="Arial"/>
        </w:rPr>
        <w:t xml:space="preserve"> Os materiais poderão ser rejeitados, no todo ou em parte, quando estiverem em desacordo com as especificações constantes neste </w:t>
      </w:r>
      <w:r>
        <w:rPr>
          <w:rFonts w:ascii="Arial" w:hAnsi="Arial" w:cs="Arial"/>
        </w:rPr>
        <w:t xml:space="preserve">Edital, no Termo de Referência e na proposta da contratada, devendo ser substituídos no prazo de até </w:t>
      </w:r>
      <w:r>
        <w:rPr>
          <w:rFonts w:ascii="Arial" w:hAnsi="Arial" w:cs="Arial"/>
        </w:rPr>
        <w:t xml:space="preserve">05 (cinco) dias úteis</w:t>
      </w:r>
      <w:r>
        <w:rPr>
          <w:rFonts w:ascii="Arial" w:hAnsi="Arial" w:cs="Arial"/>
        </w:rPr>
        <w:t xml:space="preserve">, às expensas da contratada, sem prejuízo da aplicação das penalidades cabíveis.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18.9.4.</w:t>
      </w:r>
      <w:r>
        <w:rPr>
          <w:rFonts w:ascii="Arial" w:hAnsi="Arial" w:cs="Arial"/>
        </w:rPr>
        <w:t xml:space="preserve"> O prazo para o recebimento definitivo poderá ser excepcionalmente prorrogado, de forma justificada, quando houver necessidade de diligências para aferição do atendimento das exigências contratuais.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18.9.5.</w:t>
      </w:r>
      <w:r>
        <w:rPr>
          <w:rFonts w:ascii="Arial" w:hAnsi="Arial" w:cs="Arial"/>
        </w:rPr>
        <w:t xml:space="preserve"> No caso de controvérsia sobre a execução do objeto, quanto à dimensão, qualidade e quantidade</w:t>
      </w:r>
      <w:r>
        <w:rPr>
          <w:rFonts w:ascii="Arial" w:hAnsi="Arial" w:cs="Arial"/>
        </w:rPr>
        <w:t xml:space="preserve">, deverá ser observado o disposto no art. 143 da Lei nº 14.133/2021, comunicando-se à empresa para emissão de Nota Fiscal no que se refere à parcela incontroversa da execução do objeto, para efeito de liquidação e pagamento.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18.9.6</w:t>
      </w:r>
      <w:r>
        <w:rPr>
          <w:rFonts w:ascii="Arial" w:hAnsi="Arial" w:cs="Arial"/>
        </w:rPr>
        <w:t xml:space="preserve">. O prazo para a solução</w:t>
      </w:r>
      <w:r>
        <w:rPr>
          <w:rFonts w:ascii="Arial" w:hAnsi="Arial" w:cs="Arial"/>
        </w:rPr>
        <w:t xml:space="preserve">, pelo contratado, de inconsistências na execução do objeto ou para saneamento da nota fiscal, ou de instrumento de cobrança equivalente, verificadas pela Administração durante a análise prévia à liquidação da despesa, não será computado para os fins do re</w:t>
      </w:r>
      <w:r>
        <w:rPr>
          <w:rFonts w:ascii="Arial" w:hAnsi="Arial" w:cs="Arial"/>
        </w:rPr>
        <w:t xml:space="preserve">cebimento definitivo.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18.10.</w:t>
      </w:r>
      <w:r>
        <w:rPr>
          <w:rFonts w:ascii="Arial" w:hAnsi="Arial" w:cs="Arial"/>
        </w:rPr>
        <w:t xml:space="preserve"> O custo de transporte dos bens cobertos pela garantia será de responsabilidade da contratada.</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18.11</w:t>
      </w:r>
      <w:r>
        <w:rPr>
          <w:rFonts w:ascii="Arial" w:hAnsi="Arial" w:cs="Arial"/>
        </w:rPr>
        <w:t xml:space="preserve">. O recebimento provisório ou definitivo não excluirá a responsabilidade civil, administrativa e profissional da contratada pelo perfeito fornecimento do objeto, dentro dos limites estabelecidos pela Lei nº 14.133/2021.</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18.12</w:t>
      </w:r>
      <w:r>
        <w:rPr>
          <w:rFonts w:ascii="Arial" w:hAnsi="Arial" w:cs="Arial"/>
        </w:rPr>
        <w:t xml:space="preserve">. A contratada ficará obrigada a corrigir ou substituir, às suas expensas, no todo ou em parte, o objeto desta licitação em que se verificarem vícios, defei</w:t>
      </w:r>
      <w:r>
        <w:rPr>
          <w:rFonts w:ascii="Arial" w:hAnsi="Arial" w:cs="Arial"/>
        </w:rPr>
        <w:t xml:space="preserve">tos ou incorreções resultantes dos materiais fornecidos.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9"/>
        <w:pBdr/>
        <w:spacing w:after="0" w:before="0"/>
        <w:ind/>
        <w:rPr>
          <w:rFonts w:eastAsia="SimSun"/>
          <w:sz w:val="20"/>
          <w:szCs w:val="20"/>
          <w:lang w:val="pt-BR"/>
        </w:rPr>
      </w:pPr>
      <w:r/>
      <w:bookmarkStart w:id="23" w:name="__RefHeading___Toc190782026"/>
      <w:r>
        <w:rPr>
          <w:rFonts w:eastAsia="SimSun"/>
          <w:sz w:val="20"/>
          <w:szCs w:val="20"/>
          <w:lang w:val="pt-BR"/>
        </w:rPr>
        <w:t xml:space="preserve">19. DA DOTAÇÃO ORÇAMENTÁRIA:</w:t>
      </w:r>
      <w:bookmarkEnd w:id="23"/>
      <w:r>
        <w:rPr>
          <w:rFonts w:eastAsia="SimSun"/>
          <w:sz w:val="20"/>
          <w:szCs w:val="20"/>
          <w:lang w:val="pt-BR"/>
        </w:rPr>
        <w:t xml:space="preserve"> </w:t>
      </w:r>
      <w:r>
        <w:rPr>
          <w:rFonts w:eastAsia="SimSun"/>
          <w:sz w:val="20"/>
          <w:szCs w:val="20"/>
          <w:lang w:val="pt-BR"/>
        </w:rPr>
      </w:r>
    </w:p>
    <w:p>
      <w:pPr>
        <w:pStyle w:val="828"/>
        <w:pBdr/>
        <w:spacing/>
        <w:ind/>
        <w:rPr>
          <w:rFonts w:eastAsia="SimSun"/>
        </w:rPr>
      </w:pPr>
      <w:r>
        <w:rPr>
          <w:rFonts w:eastAsia="SimSun"/>
        </w:rPr>
      </w:r>
      <w:r>
        <w:rPr>
          <w:rFonts w:eastAsia="SimSun"/>
        </w:rPr>
      </w:r>
    </w:p>
    <w:p>
      <w:pPr>
        <w:pStyle w:val="828"/>
        <w:pBdr/>
        <w:spacing/>
        <w:ind/>
        <w:jc w:val="both"/>
        <w:rPr>
          <w:b/>
          <w:u w:val="single"/>
        </w:rPr>
      </w:pPr>
      <w:r/>
      <w:bookmarkStart w:id="24" w:name="__RefHeading___Toc190782027"/>
      <w:r>
        <w:rPr>
          <w:b/>
          <w:u w:val="single"/>
        </w:rPr>
      </w:r>
      <w:r>
        <w:rPr>
          <w:b/>
          <w:u w:val="single"/>
        </w:rPr>
      </w:r>
    </w:p>
    <w:tbl>
      <w:tblPr>
        <w:tblInd w:w="848" w:type="dxa"/>
        <w:tblW w:w="8537"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62"/>
        <w:gridCol w:w="6675"/>
      </w:tblGrid>
      <w:tr>
        <w:trPr>
          <w:trHeight w:val="141"/>
        </w:trPr>
        <w:tc>
          <w:tcPr>
            <w:gridSpan w:val="2"/>
            <w:tcBorders>
              <w:top w:val="single" w:color="auto" w:sz="4" w:space="0"/>
              <w:left w:val="single" w:color="auto" w:sz="4" w:space="0"/>
              <w:bottom w:val="single" w:color="auto" w:sz="4" w:space="0"/>
              <w:right w:val="single" w:color="auto" w:sz="4" w:space="0"/>
            </w:tcBorders>
            <w:tcW w:w="8537" w:type="dxa"/>
            <w:vAlign w:val="center"/>
            <w:textDirection w:val="lrTb"/>
            <w:noWrap w:val="false"/>
          </w:tcPr>
          <w:p>
            <w:pPr>
              <w:pStyle w:val="828"/>
              <w:pBdr/>
              <w:spacing/>
              <w:ind/>
              <w:jc w:val="center"/>
              <w:rPr/>
            </w:pPr>
            <w:r>
              <w:rPr>
                <w:b/>
                <w:color w:val="000000"/>
                <w:lang w:eastAsia="pt-BR"/>
              </w:rPr>
              <w:t xml:space="preserve">CLASSIFICAÇÃO ORÇAMENTÁRIA DA DESPESA</w:t>
            </w:r>
            <w:r/>
          </w:p>
        </w:tc>
      </w:tr>
      <w:tr>
        <w:trPr>
          <w:trHeight w:val="141"/>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014 – FUNDO MUNICIPAL DE SAÚDE</w:t>
            </w:r>
            <w:r/>
          </w:p>
        </w:tc>
      </w:tr>
      <w:tr>
        <w:trPr>
          <w:trHeight w:val="160"/>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10.122.2204.1041 – EQUIPAR A GESTÃO DO SUS</w:t>
            </w:r>
            <w:r/>
          </w:p>
        </w:tc>
      </w:tr>
      <w:tr>
        <w:trPr>
          <w:trHeight w:val="152"/>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4.4.90.52.00.00 – EQUIPAMENTOS E MATERIAL PERMANENTE</w:t>
            </w:r>
            <w:r/>
          </w:p>
        </w:tc>
      </w:tr>
      <w:tr>
        <w:trPr>
          <w:trHeight w:val="155"/>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b/>
              </w:rPr>
            </w:pPr>
            <w:r>
              <w:rPr>
                <w:b/>
              </w:rPr>
              <w:t xml:space="preserve">699</w:t>
            </w:r>
            <w:r>
              <w:rPr>
                <w:b/>
              </w:rPr>
            </w:r>
          </w:p>
        </w:tc>
      </w:tr>
      <w:tr>
        <w:trPr>
          <w:trHeight w:val="98"/>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1.500.1002000</w:t>
            </w:r>
            <w:r/>
          </w:p>
        </w:tc>
      </w:tr>
    </w:tbl>
    <w:p>
      <w:pPr>
        <w:pStyle w:val="828"/>
        <w:pBdr/>
        <w:spacing/>
        <w:ind/>
        <w:jc w:val="both"/>
        <w:rPr>
          <w:b/>
          <w:u w:val="single"/>
        </w:rPr>
      </w:pPr>
      <w:r>
        <w:rPr>
          <w:b/>
          <w:u w:val="single"/>
        </w:rPr>
      </w:r>
      <w:r>
        <w:rPr>
          <w:b/>
          <w:u w:val="single"/>
        </w:rPr>
      </w:r>
    </w:p>
    <w:tbl>
      <w:tblPr>
        <w:tblInd w:w="848" w:type="dxa"/>
        <w:tblW w:w="8525"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62"/>
        <w:gridCol w:w="6663"/>
      </w:tblGrid>
      <w:tr>
        <w:trPr>
          <w:trHeight w:val="151"/>
        </w:trPr>
        <w:tc>
          <w:tcPr>
            <w:gridSpan w:val="2"/>
            <w:tcBorders>
              <w:top w:val="single" w:color="auto" w:sz="4" w:space="0"/>
              <w:left w:val="single" w:color="auto" w:sz="4" w:space="0"/>
              <w:bottom w:val="single" w:color="auto" w:sz="4" w:space="0"/>
              <w:right w:val="single" w:color="auto" w:sz="4" w:space="0"/>
            </w:tcBorders>
            <w:tcW w:w="8525"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51"/>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014 </w:t>
            </w:r>
            <w:r>
              <w:t xml:space="preserve">– FUNDO MUNICIPAL DE SAÚDE </w:t>
            </w:r>
            <w:r/>
          </w:p>
        </w:tc>
      </w:tr>
      <w:tr>
        <w:trPr>
          <w:trHeight w:val="170"/>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10.301.2202.1036 – EQUIPAR A ATENÇÃO PRIMÁRIA À SAÚDE - APS</w:t>
            </w:r>
            <w:r/>
          </w:p>
        </w:tc>
      </w:tr>
      <w:tr>
        <w:trPr>
          <w:trHeight w:val="108"/>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4.4.90.52.00.00 – EQUIPAMENTOS E MATERIAL PERMANENTE</w:t>
            </w:r>
            <w:r/>
          </w:p>
        </w:tc>
      </w:tr>
      <w:tr>
        <w:trPr>
          <w:trHeight w:val="162"/>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b/>
              </w:rPr>
            </w:pPr>
            <w:r>
              <w:rPr>
                <w:b/>
              </w:rPr>
              <w:t xml:space="preserve">688</w:t>
            </w:r>
            <w:r>
              <w:rPr>
                <w:b/>
              </w:rPr>
            </w:r>
          </w:p>
        </w:tc>
      </w:tr>
      <w:tr>
        <w:trPr>
          <w:trHeight w:val="98"/>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1.500.1002000</w:t>
            </w:r>
            <w:r/>
          </w:p>
        </w:tc>
      </w:tr>
    </w:tbl>
    <w:p>
      <w:pPr>
        <w:pStyle w:val="828"/>
        <w:pBdr/>
        <w:spacing/>
        <w:ind/>
        <w:jc w:val="both"/>
        <w:rPr>
          <w:b/>
          <w:u w:val="single"/>
        </w:rPr>
      </w:pPr>
      <w:r>
        <w:rPr>
          <w:b/>
          <w:u w:val="single"/>
        </w:rPr>
      </w:r>
      <w:r>
        <w:rPr>
          <w:b/>
          <w:u w:val="single"/>
        </w:rPr>
      </w:r>
    </w:p>
    <w:tbl>
      <w:tblPr>
        <w:tblInd w:w="835" w:type="dxa"/>
        <w:tblW w:w="8538"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63"/>
        <w:gridCol w:w="6675"/>
      </w:tblGrid>
      <w:tr>
        <w:trPr>
          <w:trHeight w:val="130"/>
        </w:trPr>
        <w:tc>
          <w:tcPr>
            <w:gridSpan w:val="2"/>
            <w:tcBorders>
              <w:top w:val="single" w:color="auto" w:sz="4" w:space="0"/>
              <w:left w:val="single" w:color="auto" w:sz="4" w:space="0"/>
              <w:bottom w:val="single" w:color="auto" w:sz="4" w:space="0"/>
              <w:right w:val="single" w:color="auto" w:sz="4" w:space="0"/>
            </w:tcBorders>
            <w:tcW w:w="8538"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30"/>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014 – FUNDO MUNICIPAL DE SAÚDE </w:t>
            </w:r>
            <w:r/>
          </w:p>
        </w:tc>
      </w:tr>
      <w:tr>
        <w:trPr>
          <w:trHeight w:val="170"/>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10.302.2203.1037 – EQUIPAR A MEDIA E ALTA COMPLEXIDADE</w:t>
            </w:r>
            <w:r/>
          </w:p>
        </w:tc>
      </w:tr>
      <w:tr>
        <w:trPr>
          <w:trHeight w:val="141"/>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4.4.90.52.00.00 – EQUIPAMENTOS E MATERIAL PERMA</w:t>
            </w:r>
            <w:r>
              <w:t xml:space="preserve">NENTE</w:t>
            </w:r>
            <w:r/>
          </w:p>
        </w:tc>
      </w:tr>
      <w:tr>
        <w:trPr>
          <w:trHeight w:val="130"/>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b/>
              </w:rPr>
            </w:pPr>
            <w:r>
              <w:rPr>
                <w:b/>
              </w:rPr>
              <w:t xml:space="preserve">568</w:t>
            </w:r>
            <w:r>
              <w:rPr>
                <w:b/>
              </w:rPr>
            </w:r>
          </w:p>
        </w:tc>
      </w:tr>
      <w:tr>
        <w:trPr>
          <w:trHeight w:val="98"/>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1.500.1002000</w:t>
            </w:r>
            <w:r/>
          </w:p>
        </w:tc>
      </w:tr>
    </w:tbl>
    <w:p>
      <w:pPr>
        <w:pStyle w:val="828"/>
        <w:pBdr/>
        <w:spacing/>
        <w:ind/>
        <w:jc w:val="both"/>
        <w:rPr>
          <w:b/>
          <w:u w:val="single"/>
        </w:rPr>
      </w:pPr>
      <w:r>
        <w:rPr>
          <w:b/>
          <w:u w:val="single"/>
        </w:rPr>
      </w:r>
      <w:r>
        <w:rPr>
          <w:b/>
          <w:u w:val="single"/>
        </w:rPr>
      </w:r>
    </w:p>
    <w:p>
      <w:pPr>
        <w:pStyle w:val="828"/>
        <w:pBdr/>
        <w:spacing/>
        <w:ind/>
        <w:jc w:val="center"/>
        <w:rPr>
          <w:b/>
          <w:u w:val="single"/>
        </w:rPr>
      </w:pPr>
      <w:r>
        <w:rPr>
          <w:b/>
          <w:u w:val="single"/>
        </w:rPr>
        <w:t xml:space="preserve">MATERIAL DE CONSUMO</w:t>
      </w:r>
      <w:r>
        <w:rPr>
          <w:b/>
          <w:u w:val="single"/>
        </w:rPr>
      </w:r>
    </w:p>
    <w:p>
      <w:pPr>
        <w:pStyle w:val="828"/>
        <w:pBdr/>
        <w:spacing/>
        <w:ind/>
        <w:jc w:val="center"/>
        <w:rPr>
          <w:b/>
          <w:u w:val="single"/>
        </w:rPr>
      </w:pPr>
      <w:r>
        <w:rPr>
          <w:b/>
          <w:u w:val="single"/>
        </w:rPr>
      </w:r>
      <w:r>
        <w:rPr>
          <w:b/>
          <w:u w:val="single"/>
        </w:rPr>
      </w:r>
    </w:p>
    <w:tbl>
      <w:tblPr>
        <w:tblInd w:w="848" w:type="dxa"/>
        <w:tblW w:w="8512"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37"/>
        <w:gridCol w:w="6675"/>
      </w:tblGrid>
      <w:tr>
        <w:trPr>
          <w:trHeight w:val="152"/>
        </w:trPr>
        <w:tc>
          <w:tcPr>
            <w:gridSpan w:val="2"/>
            <w:tcBorders>
              <w:top w:val="single" w:color="auto" w:sz="4" w:space="0"/>
              <w:left w:val="single" w:color="auto" w:sz="4" w:space="0"/>
              <w:bottom w:val="single" w:color="auto" w:sz="4" w:space="0"/>
              <w:right w:val="single" w:color="auto" w:sz="4" w:space="0"/>
            </w:tcBorders>
            <w:tcW w:w="8512"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52"/>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014 – FUNDO MUNICIPAL DE SAÚDE </w:t>
            </w:r>
            <w:r/>
          </w:p>
        </w:tc>
      </w:tr>
      <w:tr>
        <w:trPr>
          <w:trHeight w:val="170"/>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10.122.2204.2205 - MANUTENÇÃO DAS AÇÕES ADMINISTRATIVAS DO FUNDO MUNICIPAL DE SAÚDE</w:t>
            </w:r>
            <w:r/>
          </w:p>
        </w:tc>
      </w:tr>
      <w:tr>
        <w:trPr>
          <w:trHeight w:val="120"/>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3.3.90.30.00.00 – MATERIAL DE CONSUMO</w:t>
            </w:r>
            <w:r/>
          </w:p>
        </w:tc>
      </w:tr>
      <w:tr>
        <w:trPr>
          <w:trHeight w:val="10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b/>
              </w:rPr>
            </w:pPr>
            <w:r>
              <w:rPr>
                <w:b/>
              </w:rPr>
              <w:t xml:space="preserve">709</w:t>
            </w:r>
            <w:r>
              <w:rPr>
                <w:b/>
              </w:rPr>
            </w:r>
          </w:p>
        </w:tc>
      </w:tr>
      <w:tr>
        <w:trPr>
          <w:trHeight w:val="9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1.500.1002000</w:t>
            </w:r>
            <w:r/>
          </w:p>
        </w:tc>
      </w:tr>
    </w:tbl>
    <w:p>
      <w:pPr>
        <w:pStyle w:val="828"/>
        <w:pBdr/>
        <w:spacing/>
        <w:ind/>
        <w:rPr/>
      </w:pPr>
      <w:r/>
      <w:r/>
    </w:p>
    <w:tbl>
      <w:tblPr>
        <w:tblInd w:w="860" w:type="dxa"/>
        <w:tblW w:w="8488"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25"/>
        <w:gridCol w:w="6663"/>
      </w:tblGrid>
      <w:tr>
        <w:trPr>
          <w:trHeight w:val="162"/>
        </w:trPr>
        <w:tc>
          <w:tcPr>
            <w:gridSpan w:val="2"/>
            <w:tcBorders>
              <w:top w:val="single" w:color="auto" w:sz="4" w:space="0"/>
              <w:left w:val="single" w:color="auto" w:sz="4" w:space="0"/>
              <w:bottom w:val="single" w:color="auto" w:sz="4" w:space="0"/>
              <w:right w:val="single" w:color="auto" w:sz="4" w:space="0"/>
            </w:tcBorders>
            <w:tcW w:w="8488"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62"/>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014 – FUNDO MUNICIPAL DE SAÚDE </w:t>
            </w:r>
            <w:r/>
          </w:p>
        </w:tc>
      </w:tr>
      <w:tr>
        <w:trPr>
          <w:trHeight w:val="342"/>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10.301.2202.2180 - MANUTENÇÃO E CONSERVAÇÃO DA ATENÇÃO PRIMÁRIA À SAÚDE - APS E PROGRAMAS ESPECIAIS.</w:t>
            </w:r>
            <w:r/>
          </w:p>
        </w:tc>
      </w:tr>
      <w:tr>
        <w:trPr>
          <w:trHeight w:val="151"/>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3.3.90.30.00.00 – MATERIAL DE CONSUMO</w:t>
            </w:r>
            <w:r/>
          </w:p>
        </w:tc>
      </w:tr>
      <w:tr>
        <w:trPr>
          <w:trHeight w:val="152"/>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b/>
              </w:rPr>
            </w:pPr>
            <w:r>
              <w:rPr>
                <w:b/>
              </w:rPr>
              <w:t xml:space="preserve">673</w:t>
            </w:r>
            <w:r>
              <w:rPr>
                <w:b/>
              </w:rPr>
            </w:r>
          </w:p>
        </w:tc>
      </w:tr>
      <w:tr>
        <w:trPr>
          <w:trHeight w:val="98"/>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1.500.1002000</w:t>
            </w:r>
            <w:r/>
          </w:p>
        </w:tc>
      </w:tr>
    </w:tbl>
    <w:p>
      <w:pPr>
        <w:pStyle w:val="828"/>
        <w:pBdr/>
        <w:spacing/>
        <w:ind/>
        <w:rPr/>
      </w:pPr>
      <w:r/>
      <w:r/>
    </w:p>
    <w:tbl>
      <w:tblPr>
        <w:tblInd w:w="848" w:type="dxa"/>
        <w:tblW w:w="8487"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37"/>
        <w:gridCol w:w="6650"/>
      </w:tblGrid>
      <w:tr>
        <w:trPr>
          <w:trHeight w:val="141"/>
        </w:trPr>
        <w:tc>
          <w:tcPr>
            <w:gridSpan w:val="2"/>
            <w:tcBorders>
              <w:top w:val="single" w:color="auto" w:sz="4" w:space="0"/>
              <w:left w:val="single" w:color="auto" w:sz="4" w:space="0"/>
              <w:bottom w:val="single" w:color="auto" w:sz="4" w:space="0"/>
              <w:right w:val="single" w:color="auto" w:sz="4" w:space="0"/>
            </w:tcBorders>
            <w:tcW w:w="8487"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41"/>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014 – FUNDO MUNICIPAL DE SAÚDE </w:t>
            </w:r>
            <w:r/>
          </w:p>
        </w:tc>
      </w:tr>
      <w:tr>
        <w:trPr>
          <w:trHeight w:val="342"/>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10.301.2202.2180 - MANUTENÇÃO E CONSERVAÇÃO DA ATENÇÃO PRIMÁRIA À SAÚDE - APS E PRO</w:t>
            </w:r>
            <w:r>
              <w:t xml:space="preserve">GRAMAS ESPECIAIS.</w:t>
            </w:r>
            <w:r/>
          </w:p>
        </w:tc>
      </w:tr>
      <w:tr>
        <w:trPr>
          <w:trHeight w:val="130"/>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3.3.90.30.00.00 – MATERIAL DE CONSUMO</w:t>
            </w:r>
            <w:r/>
          </w:p>
        </w:tc>
      </w:tr>
      <w:tr>
        <w:trPr>
          <w:trHeight w:val="162"/>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b/>
              </w:rPr>
            </w:pPr>
            <w:r>
              <w:rPr>
                <w:b/>
              </w:rPr>
              <w:t xml:space="preserve">674</w:t>
            </w:r>
            <w:r>
              <w:rPr>
                <w:b/>
              </w:rPr>
            </w:r>
          </w:p>
        </w:tc>
      </w:tr>
      <w:tr>
        <w:trPr>
          <w:trHeight w:val="9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1.600.0000600</w:t>
            </w:r>
            <w:r/>
          </w:p>
        </w:tc>
      </w:tr>
    </w:tbl>
    <w:p>
      <w:pPr>
        <w:pStyle w:val="828"/>
        <w:pBdr/>
        <w:spacing/>
        <w:ind/>
        <w:rPr/>
      </w:pPr>
      <w:r/>
      <w:r/>
    </w:p>
    <w:tbl>
      <w:tblPr>
        <w:tblInd w:w="823" w:type="dxa"/>
        <w:tblW w:w="8512"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75"/>
        <w:gridCol w:w="6637"/>
      </w:tblGrid>
      <w:tr>
        <w:trPr>
          <w:trHeight w:val="162"/>
        </w:trPr>
        <w:tc>
          <w:tcPr>
            <w:gridSpan w:val="2"/>
            <w:tcBorders>
              <w:top w:val="single" w:color="auto" w:sz="4" w:space="0"/>
              <w:left w:val="single" w:color="auto" w:sz="4" w:space="0"/>
              <w:bottom w:val="single" w:color="auto" w:sz="4" w:space="0"/>
              <w:right w:val="single" w:color="auto" w:sz="4" w:space="0"/>
            </w:tcBorders>
            <w:tcW w:w="8512"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62"/>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014 – FUNDO MUNICIPAL DE SAÚDE </w:t>
            </w:r>
            <w:r/>
          </w:p>
        </w:tc>
      </w:tr>
      <w:tr>
        <w:trPr>
          <w:trHeight w:val="90"/>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10.302.2203.2193 - MANUTENÇÃO DOS SERVIÇOS DE MÉDIA E ALTA COMPLEXIDADE</w:t>
            </w:r>
            <w:r/>
          </w:p>
        </w:tc>
      </w:tr>
      <w:tr>
        <w:trPr>
          <w:trHeight w:val="90"/>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3.3.90.30.00.00 – MATERIAL DE CONSUMO</w:t>
            </w:r>
            <w:r/>
          </w:p>
        </w:tc>
      </w:tr>
      <w:tr>
        <w:trPr>
          <w:trHeight w:val="90"/>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b/>
              </w:rPr>
            </w:pPr>
            <w:r>
              <w:rPr>
                <w:b/>
              </w:rPr>
              <w:t xml:space="preserve">556</w:t>
            </w:r>
            <w:r>
              <w:rPr>
                <w:b/>
              </w:rPr>
            </w:r>
          </w:p>
        </w:tc>
      </w:tr>
      <w:tr>
        <w:trPr>
          <w:trHeight w:val="98"/>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1.500.1002000</w:t>
            </w:r>
            <w:r/>
          </w:p>
        </w:tc>
      </w:tr>
    </w:tbl>
    <w:p>
      <w:pPr>
        <w:pStyle w:val="828"/>
        <w:pBdr/>
        <w:spacing/>
        <w:ind/>
        <w:jc w:val="both"/>
        <w:rPr/>
      </w:pPr>
      <w:r/>
      <w:r/>
    </w:p>
    <w:p>
      <w:pPr>
        <w:pStyle w:val="828"/>
        <w:pBdr/>
        <w:spacing/>
        <w:ind/>
        <w:rPr>
          <w:rFonts w:eastAsia="SimSun"/>
        </w:rPr>
      </w:pPr>
      <w:r>
        <w:rPr>
          <w:rFonts w:eastAsia="SimSun"/>
        </w:rPr>
      </w:r>
      <w:r>
        <w:rPr>
          <w:rFonts w:eastAsia="SimSun"/>
        </w:rPr>
      </w:r>
    </w:p>
    <w:p>
      <w:pPr>
        <w:pStyle w:val="829"/>
        <w:numPr>
          <w:ilvl w:val="0"/>
          <w:numId w:val="0"/>
        </w:numPr>
        <w:pBdr/>
        <w:spacing w:after="0" w:before="0"/>
        <w:ind/>
        <w:jc w:val="both"/>
        <w:rPr>
          <w:sz w:val="20"/>
          <w:szCs w:val="20"/>
          <w:lang w:val="pt-BR"/>
        </w:rPr>
      </w:pPr>
      <w:r>
        <w:rPr>
          <w:rFonts w:eastAsia="SimSun"/>
          <w:sz w:val="20"/>
          <w:szCs w:val="20"/>
          <w:lang w:val="pt-BR"/>
        </w:rPr>
        <w:t xml:space="preserve">20. DAS OBRIGAÇÕES DA CONTRATANTE:</w:t>
      </w:r>
      <w:bookmarkEnd w:id="24"/>
      <w:r>
        <w:rPr>
          <w:rFonts w:eastAsia="SimSun"/>
          <w:sz w:val="20"/>
          <w:szCs w:val="20"/>
          <w:lang w:val="pt-BR"/>
        </w:rPr>
        <w:t xml:space="preserve"> Constituem o</w:t>
      </w:r>
      <w:r>
        <w:rPr>
          <w:rFonts w:eastAsia="SimSun"/>
          <w:sz w:val="20"/>
          <w:szCs w:val="20"/>
          <w:lang w:val="pt-BR"/>
        </w:rPr>
        <w:t xml:space="preserve">brigações da Contratante, além das demais previstas n</w:t>
      </w:r>
      <w:r>
        <w:rPr>
          <w:rFonts w:eastAsia="SimSun"/>
          <w:sz w:val="20"/>
          <w:szCs w:val="20"/>
          <w:lang w:val="pt-BR"/>
        </w:rPr>
        <w:t xml:space="preserve">o</w:t>
      </w:r>
      <w:r>
        <w:rPr>
          <w:rFonts w:eastAsia="SimSun"/>
          <w:sz w:val="20"/>
          <w:szCs w:val="20"/>
          <w:lang w:val="pt-BR"/>
        </w:rPr>
        <w:t xml:space="preserve"> Termo Referencial: </w:t>
      </w:r>
      <w:r>
        <w:rPr>
          <w:sz w:val="20"/>
          <w:szCs w:val="20"/>
          <w:lang w:val="pt-BR"/>
        </w:rPr>
      </w:r>
      <w:r>
        <w:rPr>
          <w:sz w:val="20"/>
          <w:szCs w:val="20"/>
          <w:lang w:val="pt-BR"/>
        </w:rPr>
      </w:r>
    </w:p>
    <w:p>
      <w:pPr>
        <w:pStyle w:val="828"/>
        <w:pBdr/>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20.1.</w:t>
      </w:r>
      <w:r>
        <w:rPr>
          <w:rFonts w:ascii="Arial" w:hAnsi="Arial" w:cs="Arial"/>
        </w:rPr>
        <w:t xml:space="preserve"> Cumprir todos os compromissos financeiros assumidos com a Contratada, efetuando os pagamentos de acordo com as cláusulas do contrato;</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20.2.</w:t>
      </w:r>
      <w:r>
        <w:rPr>
          <w:rFonts w:ascii="Arial" w:hAnsi="Arial" w:cs="Arial"/>
        </w:rPr>
        <w:t xml:space="preserve"> Fornecer e colocar à disposição da Contratada todos os elementos e informações que se fizerem necessários ao efetivo cumprimento do objeto contratado;</w:t>
      </w:r>
      <w:r>
        <w:rPr>
          <w:rFonts w:ascii="Arial" w:hAnsi="Arial" w:cs="Arial"/>
        </w:rPr>
      </w:r>
    </w:p>
    <w:p>
      <w:pPr>
        <w:pStyle w:val="828"/>
        <w:pBdr/>
        <w:tabs>
          <w:tab w:val="left" w:leader="none" w:pos="3514"/>
        </w:tabs>
        <w:spacing/>
        <w:ind w:left="360"/>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20.3</w:t>
      </w:r>
      <w:r>
        <w:rPr>
          <w:rFonts w:ascii="Arial" w:hAnsi="Arial" w:cs="Arial"/>
          <w:b/>
          <w:bCs/>
        </w:rPr>
        <w:t xml:space="preserve">.</w:t>
      </w:r>
      <w:r>
        <w:rPr>
          <w:rFonts w:ascii="Arial" w:hAnsi="Arial" w:cs="Arial"/>
        </w:rPr>
        <w:t xml:space="preserve"> Notificar, formal e tempestivamente, a Contratada sobre as irregularidades observadas no cumprimento do objeto;</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20.4</w:t>
      </w:r>
      <w:r>
        <w:rPr>
          <w:rFonts w:ascii="Arial" w:hAnsi="Arial" w:cs="Arial"/>
        </w:rPr>
        <w:t xml:space="preserve">.</w:t>
      </w:r>
      <w:r>
        <w:rPr>
          <w:rFonts w:ascii="Arial" w:hAnsi="Arial" w:cs="Arial"/>
        </w:rPr>
        <w:t xml:space="preserve"> Notificar a</w:t>
      </w:r>
      <w:r>
        <w:rPr>
          <w:rFonts w:ascii="Arial" w:hAnsi="Arial" w:cs="Arial"/>
        </w:rPr>
        <w:t xml:space="preserve"> Contratada, por escrito e com antecedência, sobre multas, penalidades e quaisquer débitos de sua responsabilidade; </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20.5</w:t>
      </w:r>
      <w:r>
        <w:rPr>
          <w:rFonts w:ascii="Arial" w:hAnsi="Arial" w:cs="Arial"/>
          <w:b/>
          <w:bCs/>
        </w:rPr>
        <w:t xml:space="preserve">.</w:t>
      </w:r>
      <w:r>
        <w:rPr>
          <w:rFonts w:ascii="Arial" w:hAnsi="Arial" w:cs="Arial"/>
        </w:rPr>
        <w:t xml:space="preserve"> Aco</w:t>
      </w:r>
      <w:r>
        <w:rPr>
          <w:rFonts w:ascii="Arial" w:hAnsi="Arial" w:cs="Arial"/>
        </w:rPr>
        <w:t xml:space="preserve">mpanhar a entrega dos bens</w:t>
      </w:r>
      <w:r>
        <w:rPr>
          <w:rFonts w:ascii="Arial" w:hAnsi="Arial" w:cs="Arial"/>
        </w:rPr>
        <w:t xml:space="preserve"> pela Contratada, podendo intervir durante a sua entrega/prestação, para fins de ajustes ou suspensão do fornecimento; </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20.6</w:t>
      </w:r>
      <w:r>
        <w:rPr>
          <w:rFonts w:ascii="Arial" w:hAnsi="Arial" w:cs="Arial"/>
          <w:b/>
          <w:bCs/>
        </w:rPr>
        <w:t xml:space="preserve">.</w:t>
      </w:r>
      <w:r>
        <w:rPr>
          <w:rFonts w:ascii="Arial" w:hAnsi="Arial" w:cs="Arial"/>
        </w:rPr>
        <w:t xml:space="preserve"> Fiscalizar a execução do objeto contratual através de sua unidade competente que designará um representante para esse fim de fiscal do contrato, podendo, em decorrência, solicitar providências da Contratada, que atenderá ou justific</w:t>
      </w:r>
      <w:r>
        <w:rPr>
          <w:rFonts w:ascii="Arial" w:hAnsi="Arial" w:cs="Arial"/>
        </w:rPr>
        <w:t xml:space="preserve">ará de imediato, e de tudo dará ciência à Prefeitura Municipal de Rondonópolis, em conformidade com o Artigo 6º, XXIII da Lei de Licitações 14.133/2021 e o Decreto Municipal 11.685/2023;</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20.7</w:t>
      </w:r>
      <w:r>
        <w:rPr>
          <w:rFonts w:ascii="Arial" w:hAnsi="Arial" w:cs="Arial"/>
          <w:b/>
          <w:bCs/>
        </w:rPr>
        <w:t xml:space="preserve">.</w:t>
      </w:r>
      <w:r>
        <w:rPr>
          <w:rFonts w:ascii="Arial" w:hAnsi="Arial" w:cs="Arial"/>
        </w:rPr>
        <w:t xml:space="preserve"> A gestora do contrato será a Secretária Municipal de </w:t>
      </w:r>
      <w:r>
        <w:rPr>
          <w:rFonts w:ascii="Arial" w:hAnsi="Arial" w:cs="Arial"/>
        </w:rPr>
        <w:t xml:space="preserve">Saúde</w:t>
      </w:r>
      <w:r>
        <w:rPr>
          <w:rFonts w:ascii="Arial" w:hAnsi="Arial" w:cs="Arial"/>
        </w:rPr>
        <w:t xml:space="preserve">, Sr. </w:t>
      </w:r>
      <w:r>
        <w:rPr>
          <w:rFonts w:ascii="Arial" w:hAnsi="Arial" w:cs="Arial"/>
        </w:rPr>
        <w:t xml:space="preserve">MYKAELL THIAGO DOS SANTOS VITORINO BANDEIRA</w:t>
      </w:r>
      <w:r>
        <w:rPr>
          <w:rFonts w:ascii="Arial" w:hAnsi="Arial" w:cs="Arial"/>
        </w:rPr>
        <w:t xml:space="preserve">, que irá nomear através de Portaria Interna com publicação no Diário Oficial Eletrônico de Rondonópolis (Diorondon-e), o servidor responsável pelo acompanhamento e fiscalização da execução do objeto contratual,</w:t>
      </w:r>
      <w:r>
        <w:rPr>
          <w:rFonts w:ascii="Arial" w:hAnsi="Arial" w:cs="Arial"/>
        </w:rPr>
        <w:t xml:space="preserve"> bem como, o pagamento da nota fiscal referente a aquisição realizada pela Contratada, será condicionado à apresentação do relatório dos fiscais do contrato, seguindo a Recomendação Técnica nº 21/2014</w:t>
      </w:r>
      <w:r>
        <w:rPr>
          <w:rFonts w:ascii="Arial" w:hAnsi="Arial" w:cs="Arial"/>
        </w:rPr>
        <w:t xml:space="preserve">;</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20.8</w:t>
      </w:r>
      <w:r>
        <w:rPr>
          <w:rFonts w:ascii="Arial" w:hAnsi="Arial" w:cs="Arial"/>
          <w:b/>
          <w:bCs/>
        </w:rPr>
        <w:t xml:space="preserve">.</w:t>
      </w:r>
      <w:r>
        <w:rPr>
          <w:rFonts w:ascii="Arial" w:hAnsi="Arial" w:cs="Arial"/>
        </w:rPr>
        <w:t xml:space="preserve"> A fiscalização de que trata o subitem acima não</w:t>
      </w:r>
      <w:r>
        <w:rPr>
          <w:rFonts w:ascii="Arial" w:hAnsi="Arial" w:cs="Arial"/>
        </w:rPr>
        <w:t xml:space="preserve"> exclui nem reduz a responsabilidade da Contratada pelos danos causados diretamente à Contratante ou a terceiros, decorrentes de sua culpa ou dolo na execução da contratação em conformidade com o Artigo 6º, XXIII da Lei de Licitações 14.133/2021 e o Decret</w:t>
      </w:r>
      <w:r>
        <w:rPr>
          <w:rFonts w:ascii="Arial" w:hAnsi="Arial" w:cs="Arial"/>
        </w:rPr>
        <w:t xml:space="preserve">o Municipal 11.685/2023;</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20.9</w:t>
      </w:r>
      <w:r>
        <w:rPr>
          <w:rFonts w:ascii="Arial" w:hAnsi="Arial" w:cs="Arial"/>
          <w:b/>
          <w:bCs/>
        </w:rPr>
        <w:t xml:space="preserve">.</w:t>
      </w:r>
      <w:r>
        <w:rPr>
          <w:rFonts w:ascii="Arial" w:hAnsi="Arial" w:cs="Arial"/>
        </w:rPr>
        <w:t xml:space="preserve"> Aplicar as sanções administrativas contratuais pertinentes, em caso de inadimplemento; </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29.10.</w:t>
      </w:r>
      <w:r>
        <w:rPr>
          <w:rFonts w:ascii="Arial" w:hAnsi="Arial" w:cs="Arial"/>
        </w:rPr>
        <w:t xml:space="preserve"> </w:t>
      </w:r>
      <w:r>
        <w:rPr>
          <w:rFonts w:ascii="Arial" w:hAnsi="Arial" w:cs="Arial"/>
        </w:rPr>
        <w:t xml:space="preserve">Rejeitar, no todo ou em parte, os materiais e ou equipamentos e ou serviços entregues e ou prestados em desacordo com o contrato;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20.11.</w:t>
      </w:r>
      <w:r>
        <w:rPr>
          <w:rFonts w:ascii="Arial" w:hAnsi="Arial" w:cs="Arial"/>
        </w:rPr>
        <w:t xml:space="preserve"> Disponibilizar local, data e horário para recebimento dos itens</w:t>
      </w:r>
      <w:r>
        <w:rPr>
          <w:rFonts w:ascii="Arial" w:hAnsi="Arial" w:cs="Arial"/>
        </w:rPr>
        <w:t xml:space="preserv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20.1</w:t>
      </w:r>
      <w:r>
        <w:rPr>
          <w:rFonts w:ascii="Arial" w:hAnsi="Arial" w:cs="Arial"/>
          <w:b/>
        </w:rPr>
        <w:t xml:space="preserve">2</w:t>
      </w:r>
      <w:r>
        <w:rPr>
          <w:rFonts w:ascii="Arial" w:hAnsi="Arial" w:cs="Arial"/>
          <w:b/>
        </w:rPr>
        <w:t xml:space="preserve">.</w:t>
      </w:r>
      <w:r>
        <w:rPr>
          <w:rFonts w:ascii="Arial" w:hAnsi="Arial" w:cs="Arial"/>
        </w:rPr>
        <w:t xml:space="preserve"> Proporcionar todas as facilidades indispensáveis à boa execução das obrigações contratuais, inclusive permitindo o acesso de empregados, prepostos ou representantes da contr</w:t>
      </w:r>
      <w:r>
        <w:rPr>
          <w:rFonts w:ascii="Arial" w:hAnsi="Arial" w:cs="Arial"/>
        </w:rPr>
        <w:t xml:space="preserve">atada em suas dependências, quando for o caso.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9"/>
        <w:pBdr/>
        <w:spacing w:after="0" w:before="0"/>
        <w:ind/>
        <w:jc w:val="both"/>
        <w:rPr>
          <w:sz w:val="20"/>
          <w:szCs w:val="20"/>
          <w:lang w:val="pt-BR"/>
        </w:rPr>
      </w:pPr>
      <w:r/>
      <w:bookmarkStart w:id="25" w:name="__RefHeading___Toc190782028"/>
      <w:r/>
      <w:bookmarkEnd w:id="25"/>
      <w:r>
        <w:rPr>
          <w:rFonts w:eastAsia="SimSun"/>
          <w:sz w:val="20"/>
          <w:szCs w:val="20"/>
          <w:lang w:val="pt-BR"/>
        </w:rPr>
        <w:t xml:space="preserve">21. DAS OBRIGAÇÕES E RESPONSABILIDADES DA CONTRATADA: Constituem obrigações da Contratada, além das demais previstas n</w:t>
      </w:r>
      <w:r>
        <w:rPr>
          <w:rFonts w:eastAsia="SimSun"/>
          <w:sz w:val="20"/>
          <w:szCs w:val="20"/>
          <w:lang w:val="pt-BR"/>
        </w:rPr>
        <w:t xml:space="preserve">o</w:t>
      </w:r>
      <w:r>
        <w:rPr>
          <w:rFonts w:eastAsia="SimSun"/>
          <w:sz w:val="20"/>
          <w:szCs w:val="20"/>
          <w:lang w:val="pt-BR"/>
        </w:rPr>
        <w:t xml:space="preserve"> Termo Referencial</w:t>
      </w:r>
      <w:r>
        <w:rPr>
          <w:sz w:val="20"/>
          <w:szCs w:val="20"/>
          <w:lang w:val="pt-BR"/>
        </w:rPr>
      </w:r>
      <w:r>
        <w:rPr>
          <w:sz w:val="20"/>
          <w:szCs w:val="20"/>
          <w:lang w:val="pt-BR"/>
        </w:rPr>
      </w:r>
    </w:p>
    <w:p>
      <w:pPr>
        <w:pStyle w:val="828"/>
        <w:pBdr/>
        <w:spacing/>
        <w:ind/>
        <w:jc w:val="both"/>
        <w:rPr>
          <w:rFonts w:ascii="Arial" w:hAnsi="Arial" w:eastAsia="SimSun" w:cs="Arial"/>
          <w:b/>
        </w:rPr>
      </w:pPr>
      <w:r>
        <w:rPr>
          <w:rFonts w:ascii="Arial" w:hAnsi="Arial" w:eastAsia="SimSun" w:cs="Arial"/>
          <w:b/>
        </w:rPr>
      </w:r>
      <w:r>
        <w:rPr>
          <w:rFonts w:ascii="Arial" w:hAnsi="Arial" w:eastAsia="SimSun" w:cs="Arial"/>
          <w:b/>
        </w:rPr>
      </w:r>
    </w:p>
    <w:p>
      <w:pPr>
        <w:pStyle w:val="828"/>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rPr>
        <w:t xml:space="preserve">21.1</w:t>
      </w:r>
      <w:r>
        <w:rPr>
          <w:rFonts w:ascii="Arial" w:hAnsi="Arial" w:cs="Arial"/>
        </w:rPr>
        <w:t xml:space="preserve">. </w:t>
      </w:r>
      <w:r>
        <w:rPr>
          <w:rFonts w:ascii="Arial" w:hAnsi="Arial" w:cs="Arial"/>
        </w:rPr>
        <w:t xml:space="preserve">Efetuar </w:t>
      </w:r>
      <w:r>
        <w:rPr>
          <w:rFonts w:ascii="Arial" w:hAnsi="Arial" w:cs="Arial"/>
        </w:rPr>
        <w:t xml:space="preserve">a entrega dos materiais em perfeitas condições de uso, no prazo e local indicados pela Administração, em estrita conformidade com as especificações constantes neste Edital, Termo de Referência e proposta apresentada, acompanhados da respectiva Nota Fiscal.</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21.2. </w:t>
      </w:r>
      <w:r>
        <w:rPr>
          <w:rFonts w:ascii="Arial" w:hAnsi="Arial" w:cs="Arial"/>
        </w:rPr>
        <w:t xml:space="preserve">Cumprir todas as Leis e Posturas Federais, Esta</w:t>
      </w:r>
      <w:r>
        <w:rPr>
          <w:rFonts w:ascii="Arial" w:hAnsi="Arial" w:cs="Arial"/>
        </w:rPr>
        <w:t xml:space="preserve">duais e Municipais pertinentes e responsabilizar-se por todos os prejuízos decorrentes de infrações a que houver dado causa;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21.3.</w:t>
      </w:r>
      <w:r>
        <w:rPr>
          <w:rFonts w:ascii="Arial" w:hAnsi="Arial" w:cs="Arial"/>
          <w:i/>
          <w:iCs/>
        </w:rPr>
        <w:t xml:space="preserve"> </w:t>
      </w:r>
      <w:r>
        <w:rPr>
          <w:rFonts w:ascii="Arial" w:hAnsi="Arial" w:cs="Arial"/>
        </w:rPr>
        <w:t xml:space="preserve">Assumir, com exclusividade, todos os tributos, impostos e taxas que forem devidos em decorrência do objeto da aquisição/co</w:t>
      </w:r>
      <w:r>
        <w:rPr>
          <w:rFonts w:ascii="Arial" w:hAnsi="Arial" w:cs="Arial"/>
        </w:rPr>
        <w:t xml:space="preserve">ntratação e quaisquer outras despesas que se fizerem necessárias ao cumprimento do objeto pactuado, inclusive quanto ao transporte, carga e descarga, configuração, despesas com pessoal e apresentar os respectivos comprovantes quando solicitado pela Contrat</w:t>
      </w:r>
      <w:r>
        <w:rPr>
          <w:rFonts w:ascii="Arial" w:hAnsi="Arial" w:cs="Arial"/>
        </w:rPr>
        <w:t xml:space="preserve">ante;</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21.4.</w:t>
      </w:r>
      <w:r>
        <w:rPr>
          <w:rFonts w:ascii="Arial" w:hAnsi="Arial" w:cs="Arial"/>
        </w:rPr>
        <w:t xml:space="preserve"> Aceitar, nas mesmas condições contratuais, os acréscimos ou supressões que se fizerem, no objeto deste instrumento de até 25% (vinte e cinco por cento) do valor inicial atualizado da aquisição/contratação;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21.5</w:t>
      </w:r>
      <w:r>
        <w:rPr>
          <w:rFonts w:ascii="Arial" w:hAnsi="Arial" w:cs="Arial"/>
        </w:rPr>
        <w:t xml:space="preserve">.</w:t>
      </w:r>
      <w:r>
        <w:rPr>
          <w:rFonts w:ascii="Arial" w:hAnsi="Arial" w:cs="Arial"/>
        </w:rPr>
        <w:t xml:space="preserve"> Responder perante a Contratante e terceiros por eventuais prejuízos e danos decorrentes de sua demora ou de sua omissão, na condução do objeto deste instrumento sob a sua responsabilidade ou por erro relativo à sua execução; </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21.6</w:t>
      </w:r>
      <w:r>
        <w:rPr>
          <w:rFonts w:ascii="Arial" w:hAnsi="Arial" w:cs="Arial"/>
          <w:b/>
          <w:bCs/>
        </w:rPr>
        <w:t xml:space="preserve">.</w:t>
      </w:r>
      <w:r>
        <w:rPr>
          <w:rFonts w:ascii="Arial" w:hAnsi="Arial" w:cs="Arial"/>
        </w:rPr>
        <w:t xml:space="preserve"> </w:t>
      </w:r>
      <w:r>
        <w:rPr>
          <w:rFonts w:ascii="Arial" w:hAnsi="Arial" w:cs="Arial"/>
        </w:rPr>
        <w:t xml:space="preserve">Responsabilizar-se por quaisquer ônus decorrentes de </w:t>
      </w:r>
      <w:r>
        <w:rPr>
          <w:rFonts w:ascii="Arial" w:hAnsi="Arial" w:cs="Arial"/>
        </w:rPr>
        <w:t xml:space="preserve">erros ou</w:t>
      </w:r>
      <w:r>
        <w:rPr>
          <w:rFonts w:ascii="Arial" w:hAnsi="Arial" w:cs="Arial"/>
        </w:rPr>
        <w:t xml:space="preserve"> omissões na elaboração de sua proposta de preços, inclusive quanto à estimativa de custos necessários à execução do objeto, não podendo alegar tais ocorrências para justificar a majoração do valor contratado, ressalvadas as hipóteses legalmente previstas.</w:t>
      </w:r>
      <w:r>
        <w:rPr>
          <w:rFonts w:ascii="Arial" w:hAnsi="Arial" w:cs="Arial"/>
        </w:rPr>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21.7</w:t>
      </w:r>
      <w:r>
        <w:rPr>
          <w:rFonts w:ascii="Arial" w:hAnsi="Arial" w:cs="Arial"/>
          <w:b/>
          <w:bCs/>
        </w:rPr>
        <w:t xml:space="preserve">.</w:t>
      </w:r>
      <w:r>
        <w:rPr>
          <w:rFonts w:ascii="Arial" w:hAnsi="Arial" w:cs="Arial"/>
        </w:rPr>
        <w:t xml:space="preserve"> Responsabilizar-se pelo ônus resultante de quaisquer ações, demandas, custos e despesas decorrentes de danos causados por culpa ou dolo de seus empregados, prepostos e/ou contratados, bem como se obrigar por quaisquer responsabilidades deco</w:t>
      </w:r>
      <w:r>
        <w:rPr>
          <w:rFonts w:ascii="Arial" w:hAnsi="Arial" w:cs="Arial"/>
        </w:rPr>
        <w:t xml:space="preserve">rrentes de ações judiciais que lhe venham a ser atribuídas por força de Lei, relacionadas com o cumprimento da aquisição/contratação; </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rPr>
        <w:t xml:space="preserve">21.8</w:t>
      </w:r>
      <w:r>
        <w:rPr>
          <w:rFonts w:ascii="Arial" w:hAnsi="Arial" w:cs="Arial"/>
          <w:b/>
          <w:bCs/>
        </w:rPr>
        <w:t xml:space="preserve">.</w:t>
      </w:r>
      <w:r>
        <w:rPr>
          <w:rFonts w:ascii="Arial" w:hAnsi="Arial" w:cs="Arial"/>
          <w:color w:val="ff0000"/>
        </w:rPr>
        <w:t xml:space="preserve"> </w:t>
      </w:r>
      <w:r>
        <w:rPr>
          <w:rFonts w:ascii="Arial" w:hAnsi="Arial" w:cs="Arial"/>
        </w:rPr>
        <w:t xml:space="preserve">Cumprir integralmente a legislação trabalhista e previdenciária vigente, em especial as</w:t>
      </w:r>
      <w:r>
        <w:rPr>
          <w:rFonts w:ascii="Arial" w:hAnsi="Arial" w:cs="Arial"/>
        </w:rPr>
        <w:t xml:space="preserve"> exigências relativas à reserva legal de cargos para pessoas com deficiência (Lei nº 8.213/1991), beneficiários reabilitados da Previdência Social e aprendizes (Lei nº 10.097/2000), bem como observar as normas correlatas expedidas pelos órgãos competentes.</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21.9</w:t>
      </w:r>
      <w:r>
        <w:rPr>
          <w:rFonts w:ascii="Arial" w:hAnsi="Arial" w:cs="Arial"/>
          <w:b/>
          <w:bCs/>
        </w:rPr>
        <w:t xml:space="preserve">.</w:t>
      </w:r>
      <w:r>
        <w:rPr>
          <w:rFonts w:ascii="Arial" w:hAnsi="Arial" w:cs="Arial"/>
        </w:rPr>
        <w:t xml:space="preserve"> Manter-se, durante </w:t>
      </w:r>
      <w:r>
        <w:rPr>
          <w:rFonts w:ascii="Arial" w:hAnsi="Arial" w:cs="Arial"/>
        </w:rPr>
        <w:t xml:space="preserve">toda a execução do contrato, em compatibilidade com todas as condições de habilitação e qualificação exigidas no processo licitatório; </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21.10</w:t>
      </w:r>
      <w:r>
        <w:rPr>
          <w:rFonts w:ascii="Arial" w:hAnsi="Arial" w:cs="Arial"/>
        </w:rPr>
        <w:t xml:space="preserve">.</w:t>
      </w:r>
      <w:r>
        <w:rPr>
          <w:rFonts w:ascii="Arial" w:hAnsi="Arial" w:cs="Arial"/>
        </w:rPr>
        <w:t xml:space="preserve"> Comunicar a P</w:t>
      </w:r>
      <w:r>
        <w:rPr>
          <w:rFonts w:ascii="Arial" w:hAnsi="Arial" w:cs="Arial"/>
        </w:rPr>
        <w:t xml:space="preserve">refeitura Municipal de Rondonópolis, qualquer alteração às condições em que se encontrava no momento da aquisição/contratação do objeto, tais como: endereço, telefone, e-mail, dados bancários, responsável pela empresa, entre outras informações relevantes; </w:t>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21.11</w:t>
      </w:r>
      <w:r>
        <w:rPr>
          <w:rFonts w:ascii="Arial" w:hAnsi="Arial" w:cs="Arial"/>
          <w:b/>
          <w:bCs/>
        </w:rPr>
        <w:t xml:space="preserve">.</w:t>
      </w:r>
      <w:r>
        <w:rPr>
          <w:rFonts w:ascii="Arial" w:hAnsi="Arial" w:cs="Arial"/>
        </w:rPr>
        <w:t xml:space="preserve"> </w:t>
      </w:r>
      <w:r>
        <w:rPr>
          <w:rFonts w:ascii="Arial" w:hAnsi="Arial" w:cs="Arial"/>
          <w:u w:val="single"/>
        </w:rPr>
        <w:t xml:space="preserve">A Contratada se obriga a permitir que a auditoria interna da Contratante por ela indicada,</w:t>
      </w:r>
      <w:r>
        <w:rPr>
          <w:rFonts w:ascii="Arial" w:hAnsi="Arial" w:cs="Arial"/>
          <w:u w:val="single"/>
        </w:rPr>
        <w:t xml:space="preserve"> tenham acesso a todos os documentos fiscais e contábeis que digam respeito aos bens/serviços fornecidos/entregues/prestados à Contratante;</w:t>
      </w:r>
      <w:r>
        <w:rPr>
          <w:rFonts w:ascii="Arial" w:hAnsi="Arial" w:cs="Arial"/>
        </w:rPr>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21.12</w:t>
      </w:r>
      <w:r>
        <w:rPr>
          <w:rFonts w:ascii="Arial" w:hAnsi="Arial" w:cs="Arial"/>
        </w:rPr>
        <w:t xml:space="preserve">.</w:t>
      </w:r>
      <w:r>
        <w:rPr>
          <w:rFonts w:ascii="Arial" w:hAnsi="Arial" w:cs="Arial"/>
        </w:rPr>
        <w:t xml:space="preserve"> Executar o fornecimento dentro dos padrões estabelecidos, de acor</w:t>
      </w:r>
      <w:r>
        <w:rPr>
          <w:rFonts w:ascii="Arial" w:hAnsi="Arial" w:cs="Arial"/>
        </w:rPr>
        <w:t xml:space="preserve">do com a especificação dos bens</w:t>
      </w:r>
      <w:r>
        <w:rPr>
          <w:rFonts w:ascii="Arial" w:hAnsi="Arial" w:cs="Arial"/>
        </w:rPr>
        <w:t xml:space="preserve">, responsabilizando-se por eventuais prejuízos decorrentes do descumprimento de condição estabelecida; </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bCs/>
        </w:rPr>
        <w:t xml:space="preserve">21.13</w:t>
      </w:r>
      <w:r>
        <w:rPr>
          <w:rFonts w:ascii="Arial" w:hAnsi="Arial" w:cs="Arial"/>
          <w:b/>
          <w:bCs/>
        </w:rPr>
        <w:t xml:space="preserve">.</w:t>
      </w:r>
      <w:r>
        <w:rPr>
          <w:rFonts w:ascii="Arial" w:hAnsi="Arial" w:cs="Arial"/>
        </w:rPr>
        <w:t xml:space="preserve"> </w:t>
      </w:r>
      <w:r>
        <w:rPr>
          <w:rFonts w:ascii="Arial" w:hAnsi="Arial" w:cs="Arial"/>
        </w:rPr>
        <w:t xml:space="preserve">Efetuar a entrega dos materiais em perfeitas condições de uso, no prazo e local indicados pela Administração, em estrita conformidade com as especificações </w:t>
      </w:r>
      <w:r>
        <w:rPr>
          <w:rFonts w:ascii="Arial" w:hAnsi="Arial" w:cs="Arial"/>
        </w:rPr>
        <w:t xml:space="preserve">constantes no Edital, Termo de Referência e proposta apresentada, acompanhados da respectiva Nota Fiscal.</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21.14</w:t>
      </w:r>
      <w:r>
        <w:rPr>
          <w:rFonts w:ascii="Arial" w:hAnsi="Arial" w:cs="Arial"/>
          <w:b/>
          <w:bCs/>
        </w:rPr>
        <w:t xml:space="preserve">.</w:t>
      </w:r>
      <w:r>
        <w:rPr>
          <w:rFonts w:ascii="Arial" w:hAnsi="Arial" w:cs="Arial"/>
          <w:color w:val="ff0000"/>
        </w:rPr>
        <w:t xml:space="preserve"> </w:t>
      </w:r>
      <w:r>
        <w:rPr>
          <w:rFonts w:ascii="Arial" w:hAnsi="Arial" w:cs="Arial"/>
        </w:rPr>
        <w:t xml:space="preserve">Substituir, no prazo máximo de </w:t>
      </w:r>
      <w:r>
        <w:rPr>
          <w:rFonts w:ascii="Arial" w:hAnsi="Arial" w:cs="Arial"/>
        </w:rPr>
        <w:t xml:space="preserve">10</w:t>
      </w:r>
      <w:r>
        <w:rPr>
          <w:rFonts w:ascii="Arial" w:hAnsi="Arial" w:cs="Arial"/>
        </w:rPr>
        <w:t xml:space="preserve"> (</w:t>
      </w:r>
      <w:r>
        <w:rPr>
          <w:rFonts w:ascii="Arial" w:hAnsi="Arial" w:cs="Arial"/>
        </w:rPr>
        <w:t xml:space="preserve">dez</w:t>
      </w:r>
      <w:r>
        <w:rPr>
          <w:rFonts w:ascii="Arial" w:hAnsi="Arial" w:cs="Arial"/>
        </w:rPr>
        <w:t xml:space="preserve">) dias úteis, os materiais que apresentarem defeitos, avarias ou estejam em desacordo com as especificações, às suas expensas.</w:t>
      </w:r>
      <w:r>
        <w:rPr>
          <w:rFonts w:ascii="Arial" w:hAnsi="Arial" w:cs="Arial"/>
        </w:rPr>
      </w:r>
      <w:r>
        <w:rPr>
          <w:rFonts w:ascii="Arial" w:hAnsi="Arial" w:cs="Arial"/>
        </w:rPr>
      </w:r>
    </w:p>
    <w:p>
      <w:pPr>
        <w:pStyle w:val="828"/>
        <w:pBdr/>
        <w:tabs>
          <w:tab w:val="left" w:leader="none" w:pos="3514"/>
        </w:tabs>
        <w:spacing/>
        <w:ind w:left="360"/>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21.15</w:t>
      </w:r>
      <w:r>
        <w:rPr>
          <w:rFonts w:ascii="Arial" w:hAnsi="Arial" w:cs="Arial"/>
        </w:rPr>
        <w:t xml:space="preserve">. </w:t>
      </w:r>
      <w:r>
        <w:rPr>
          <w:rFonts w:ascii="Arial" w:hAnsi="Arial" w:cs="Arial"/>
        </w:rPr>
        <w:t xml:space="preserve">Prestar esclarecimentos que forem solicitados pelo município de Rondonópolis, cujas reclamações se obriga a atender prontamente, bem como, oferecer condições para a mais ampla e completa fiscalização, durante a vigência do co</w:t>
      </w:r>
      <w:r>
        <w:rPr>
          <w:rFonts w:ascii="Arial" w:hAnsi="Arial" w:cs="Arial"/>
        </w:rPr>
        <w:t xml:space="preserve">ntrato a ser celebrado, bem como de seus aditivos, </w:t>
      </w:r>
      <w:r>
        <w:rPr>
          <w:rFonts w:ascii="Arial" w:hAnsi="Arial" w:cs="Arial"/>
          <w:u w:val="single"/>
        </w:rPr>
        <w:t xml:space="preserve">propiciando o acesso a toda documentações pertine</w:t>
      </w:r>
      <w:r>
        <w:rPr>
          <w:rFonts w:ascii="Arial" w:hAnsi="Arial" w:cs="Arial"/>
          <w:u w:val="single"/>
        </w:rPr>
        <w:t xml:space="preserve">ntes aos fornecimentos dos bens</w:t>
      </w:r>
      <w:r>
        <w:rPr>
          <w:rFonts w:ascii="Arial" w:hAnsi="Arial" w:cs="Arial"/>
          <w:u w:val="single"/>
        </w:rPr>
        <w:t xml:space="preserve">, atendendo às observações e exigências apresentadas pela fiscalização;</w:t>
      </w:r>
      <w:r>
        <w:rPr>
          <w:rFonts w:ascii="Arial" w:hAnsi="Arial" w:cs="Arial"/>
        </w:rPr>
      </w:r>
      <w:r>
        <w:rPr>
          <w:rFonts w:ascii="Arial" w:hAnsi="Arial" w:cs="Arial"/>
        </w:rPr>
      </w:r>
    </w:p>
    <w:p>
      <w:pPr>
        <w:pStyle w:val="828"/>
        <w:pBdr/>
        <w:tabs>
          <w:tab w:val="left" w:leader="none" w:pos="3514"/>
        </w:tabs>
        <w:spacing/>
        <w:ind w:left="360"/>
        <w:jc w:val="both"/>
        <w:rPr>
          <w:rFonts w:ascii="Arial" w:hAnsi="Arial" w:cs="Arial"/>
          <w:u w:val="single"/>
        </w:rPr>
      </w:pPr>
      <w:r>
        <w:rPr>
          <w:rFonts w:ascii="Arial" w:hAnsi="Arial" w:cs="Arial"/>
          <w:u w:val="single"/>
        </w:rPr>
      </w:r>
      <w:r>
        <w:rPr>
          <w:rFonts w:ascii="Arial" w:hAnsi="Arial" w:cs="Arial"/>
          <w:u w:val="single"/>
        </w:rPr>
      </w:r>
    </w:p>
    <w:p>
      <w:pPr>
        <w:pStyle w:val="828"/>
        <w:pBdr/>
        <w:tabs>
          <w:tab w:val="left" w:leader="none" w:pos="3514"/>
        </w:tabs>
        <w:spacing/>
        <w:ind/>
        <w:jc w:val="both"/>
        <w:rPr>
          <w:rFonts w:ascii="Arial" w:hAnsi="Arial" w:cs="Arial"/>
        </w:rPr>
      </w:pPr>
      <w:r>
        <w:rPr>
          <w:rFonts w:ascii="Arial" w:hAnsi="Arial" w:cs="Arial"/>
          <w:b/>
          <w:bCs/>
        </w:rPr>
        <w:t xml:space="preserve">21.16</w:t>
      </w:r>
      <w:r>
        <w:rPr>
          <w:rFonts w:ascii="Arial" w:hAnsi="Arial" w:cs="Arial"/>
        </w:rPr>
        <w:t xml:space="preserve">. </w:t>
      </w:r>
      <w:r>
        <w:rPr>
          <w:rFonts w:ascii="Arial" w:hAnsi="Arial" w:cs="Arial"/>
        </w:rPr>
        <w:t xml:space="preserve">Responsabilizar-se pela qualidade dos produtos fornecidos, respondendo por quaisquer danos, vícios ou defeitos, nos termos da legislação civil e administrativa aplicável.</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rPr>
        <w:t xml:space="preserve">21</w:t>
      </w:r>
      <w:r>
        <w:rPr>
          <w:rFonts w:ascii="Arial" w:hAnsi="Arial" w:cs="Arial"/>
          <w:b/>
        </w:rPr>
        <w:t xml:space="preserve">.17.</w:t>
      </w:r>
      <w:r>
        <w:rPr>
          <w:rFonts w:ascii="Arial" w:hAnsi="Arial" w:cs="Arial"/>
        </w:rPr>
        <w:t xml:space="preserve"> </w:t>
      </w:r>
      <w:r>
        <w:rPr>
          <w:rFonts w:ascii="Arial" w:hAnsi="Arial" w:cs="Arial"/>
        </w:rPr>
        <w:t xml:space="preserve">Responsabilizar-se integralmente pelos custos de produção, personalização, embalagem, transporte e entrega dos materiais, </w:t>
      </w:r>
      <w:r>
        <w:rPr>
          <w:rFonts w:ascii="Arial" w:hAnsi="Arial" w:cs="Arial"/>
        </w:rPr>
        <w:t xml:space="preserve">sem ônus adicional para a Administração.</w:t>
      </w:r>
      <w:r>
        <w:rPr>
          <w:rFonts w:ascii="Arial" w:hAnsi="Arial" w:cs="Arial"/>
        </w:rPr>
      </w:r>
    </w:p>
    <w:p>
      <w:pPr>
        <w:pStyle w:val="828"/>
        <w:pBdr/>
        <w:tabs>
          <w:tab w:val="left" w:leader="none" w:pos="3514"/>
        </w:tabs>
        <w:spacing/>
        <w:ind/>
        <w:jc w:val="both"/>
        <w:rPr>
          <w:rFonts w:ascii="Arial" w:hAnsi="Arial" w:cs="Arial"/>
          <w:highlight w:val="yellow"/>
        </w:rPr>
      </w:pPr>
      <w:r>
        <w:rPr>
          <w:rFonts w:ascii="Arial" w:hAnsi="Arial" w:cs="Arial"/>
          <w:highlight w:val="yellow"/>
        </w:rPr>
      </w:r>
      <w:r>
        <w:rPr>
          <w:rFonts w:ascii="Arial" w:hAnsi="Arial" w:cs="Arial"/>
          <w:highlight w:val="yellow"/>
        </w:rPr>
      </w:r>
    </w:p>
    <w:p>
      <w:pPr>
        <w:pStyle w:val="828"/>
        <w:pBdr/>
        <w:tabs>
          <w:tab w:val="left" w:leader="none" w:pos="567"/>
        </w:tabs>
        <w:spacing/>
        <w:ind/>
        <w:jc w:val="both"/>
        <w:rPr>
          <w:rFonts w:ascii="Arial" w:hAnsi="Arial" w:cs="Arial"/>
        </w:rPr>
      </w:pPr>
      <w:r>
        <w:rPr>
          <w:rFonts w:ascii="Arial" w:hAnsi="Arial" w:cs="Arial"/>
          <w:b/>
        </w:rPr>
        <w:t xml:space="preserve">21</w:t>
      </w:r>
      <w:r>
        <w:rPr>
          <w:rFonts w:ascii="Arial" w:hAnsi="Arial" w:cs="Arial"/>
          <w:b/>
        </w:rPr>
        <w:t xml:space="preserve">.18.</w:t>
      </w:r>
      <w:r>
        <w:rPr>
          <w:rFonts w:ascii="Arial" w:hAnsi="Arial" w:cs="Arial"/>
        </w:rPr>
        <w:t xml:space="preserve"> </w:t>
      </w:r>
      <w:r>
        <w:rPr>
          <w:rFonts w:ascii="Arial" w:hAnsi="Arial" w:cs="Arial"/>
        </w:rPr>
        <w:t xml:space="preserve">Garantir que os materiais entregues estejam em conformidade com </w:t>
      </w:r>
      <w:r>
        <w:rPr>
          <w:rFonts w:ascii="Arial" w:hAnsi="Arial" w:cs="Arial"/>
        </w:rPr>
        <w:t xml:space="preserve">o</w:t>
      </w:r>
      <w:r>
        <w:rPr>
          <w:rFonts w:ascii="Arial" w:hAnsi="Arial" w:cs="Arial"/>
        </w:rPr>
        <w:t xml:space="preserve"> </w:t>
      </w:r>
      <w:r>
        <w:rPr>
          <w:rFonts w:ascii="Arial" w:hAnsi="Arial" w:cs="Arial"/>
        </w:rPr>
        <w:t xml:space="preserve">termo de referencia</w:t>
      </w:r>
      <w:r>
        <w:rPr>
          <w:rFonts w:ascii="Arial" w:hAnsi="Arial" w:cs="Arial"/>
        </w:rPr>
        <w:t xml:space="preserve">, assegurando qualidade, durabilidade e adequação ao uso pretendido.</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567"/>
        </w:tabs>
        <w:spacing/>
        <w:ind/>
        <w:jc w:val="both"/>
        <w:rPr>
          <w:rFonts w:ascii="Arial" w:hAnsi="Arial" w:cs="Arial"/>
        </w:rPr>
      </w:pPr>
      <w:r>
        <w:rPr>
          <w:rFonts w:ascii="Arial" w:hAnsi="Arial" w:cs="Arial"/>
          <w:b/>
        </w:rPr>
        <w:t xml:space="preserve">21</w:t>
      </w:r>
      <w:r>
        <w:rPr>
          <w:rFonts w:ascii="Arial" w:hAnsi="Arial" w:cs="Arial"/>
          <w:b/>
        </w:rPr>
        <w:t xml:space="preserve">.19</w:t>
      </w:r>
      <w:r>
        <w:rPr>
          <w:rFonts w:ascii="Arial" w:hAnsi="Arial" w:cs="Arial"/>
          <w:b/>
        </w:rPr>
        <w:t xml:space="preserve">.</w:t>
      </w:r>
      <w:r>
        <w:rPr>
          <w:rFonts w:ascii="Arial" w:hAnsi="Arial" w:cs="Arial"/>
        </w:rPr>
        <w:t xml:space="preserve"> </w:t>
      </w:r>
      <w:r>
        <w:rPr>
          <w:rFonts w:ascii="Arial" w:hAnsi="Arial" w:cs="Arial"/>
        </w:rPr>
        <w:t xml:space="preserve">Arcar com o ônus decorrente de eventual equív</w:t>
      </w:r>
      <w:r>
        <w:rPr>
          <w:rFonts w:ascii="Arial" w:hAnsi="Arial" w:cs="Arial"/>
        </w:rPr>
        <w:t xml:space="preserve">oco no dimensionamento dos quantitativos de sua proposta, inclusive quanto aos custos variáveis decorrentes de fatores futuros e incertos, devendo complementá-los, caso o previsto inicialmente em sua proposta não seja satisfatório para o atendimento do obj</w:t>
      </w:r>
      <w:r>
        <w:rPr>
          <w:rFonts w:ascii="Arial" w:hAnsi="Arial" w:cs="Arial"/>
        </w:rPr>
        <w:t xml:space="preserve">eto da contratação, exceto quando ocorrer algum dos eventos arrolados no art. 124, II, d, da Lei nº 14.133, de 1º de abril de 2021.</w:t>
      </w:r>
      <w:r>
        <w:rPr>
          <w:rFonts w:ascii="Arial" w:hAnsi="Arial" w:cs="Arial"/>
        </w:rPr>
      </w:r>
    </w:p>
    <w:p>
      <w:pPr>
        <w:pStyle w:val="828"/>
        <w:pBdr/>
        <w:spacing/>
        <w:ind/>
        <w:jc w:val="both"/>
        <w:rPr>
          <w:rFonts w:ascii="Arial" w:hAnsi="Arial" w:cs="Arial"/>
          <w:b/>
          <w:color w:val="000000"/>
          <w:u w:val="single"/>
        </w:rPr>
      </w:pPr>
      <w:r>
        <w:rPr>
          <w:rFonts w:ascii="Arial" w:hAnsi="Arial" w:cs="Arial"/>
          <w:b/>
          <w:color w:val="000000"/>
          <w:u w:val="single"/>
        </w:rPr>
      </w:r>
      <w:r>
        <w:rPr>
          <w:rFonts w:ascii="Arial" w:hAnsi="Arial" w:cs="Arial"/>
          <w:b/>
          <w:color w:val="000000"/>
          <w:u w:val="single"/>
        </w:rPr>
      </w:r>
    </w:p>
    <w:p>
      <w:pPr>
        <w:pStyle w:val="828"/>
        <w:pBdr/>
        <w:spacing/>
        <w:ind/>
        <w:jc w:val="both"/>
        <w:rPr>
          <w:rFonts w:ascii="Arial" w:hAnsi="Arial" w:cs="Arial"/>
        </w:rPr>
      </w:pPr>
      <w:r>
        <w:rPr>
          <w:rFonts w:ascii="Arial" w:hAnsi="Arial" w:cs="Arial"/>
          <w:b/>
          <w:color w:val="000000"/>
        </w:rPr>
        <w:t xml:space="preserve">21.20.</w:t>
      </w:r>
      <w:r>
        <w:rPr>
          <w:rFonts w:ascii="Arial" w:hAnsi="Arial" w:cs="Arial"/>
          <w:color w:val="000000"/>
        </w:rPr>
        <w:t xml:space="preserve"> </w:t>
      </w:r>
      <w:r>
        <w:rPr>
          <w:rFonts w:ascii="Arial" w:hAnsi="Arial" w:cs="Arial"/>
        </w:rPr>
        <w:t xml:space="preserve">Comunicar à Administração, imediatamente após a ocorrência, quaisquer fatos que possam comprometer o cumprimento dos prazos ou a execução do objeto, devidamente justificados.</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bCs/>
        </w:rPr>
        <w:t xml:space="preserve">21.22.</w:t>
      </w:r>
      <w:r>
        <w:rPr>
          <w:rFonts w:ascii="Arial" w:hAnsi="Arial" w:cs="Arial"/>
        </w:rPr>
        <w:t xml:space="preserve"> </w:t>
      </w:r>
      <w:r>
        <w:rPr>
          <w:rFonts w:ascii="Arial" w:hAnsi="Arial" w:cs="Arial"/>
        </w:rPr>
        <w:t xml:space="preserve">Não transferir a terceiros as obrigações assumidas, salvo mediante prévia e expressa autorização da Administração.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rPr>
        <w:t xml:space="preserve">21.23.</w:t>
      </w:r>
      <w:r>
        <w:rPr>
          <w:rFonts w:ascii="Arial" w:hAnsi="Arial" w:cs="Arial"/>
        </w:rPr>
        <w:t xml:space="preserve"> </w:t>
      </w:r>
      <w:r>
        <w:rPr>
          <w:rFonts w:ascii="Arial" w:hAnsi="Arial" w:cs="Arial"/>
        </w:rPr>
        <w:t xml:space="preserve">O não atendimento a essas obrigações poderá ensejar aplicação de s</w:t>
      </w:r>
      <w:r>
        <w:rPr>
          <w:rFonts w:ascii="Arial" w:hAnsi="Arial" w:cs="Arial"/>
        </w:rPr>
        <w:t xml:space="preserve">anções administrativas, sem prejuízo das demais medidas cabíveis.</w:t>
      </w:r>
      <w:r>
        <w:rPr>
          <w:rFonts w:ascii="Arial" w:hAnsi="Arial" w:cs="Arial"/>
        </w:rPr>
      </w:r>
    </w:p>
    <w:p>
      <w:pPr>
        <w:pStyle w:val="828"/>
        <w:pBdr/>
        <w:tabs>
          <w:tab w:val="left" w:leader="none" w:pos="567"/>
        </w:tabs>
        <w:spacing/>
        <w:ind/>
        <w:jc w:val="both"/>
        <w:rPr>
          <w:rFonts w:ascii="Arial" w:hAnsi="Arial" w:cs="Arial"/>
          <w:color w:val="000000"/>
          <w:u w:val="single"/>
        </w:rPr>
      </w:pPr>
      <w:r>
        <w:rPr>
          <w:rFonts w:ascii="Arial" w:hAnsi="Arial" w:cs="Arial"/>
          <w:color w:val="000000"/>
          <w:u w:val="single"/>
        </w:rPr>
      </w:r>
      <w:r>
        <w:rPr>
          <w:rFonts w:ascii="Arial" w:hAnsi="Arial" w:cs="Arial"/>
          <w:color w:val="000000"/>
          <w:u w:val="single"/>
        </w:rPr>
      </w:r>
    </w:p>
    <w:p>
      <w:pPr>
        <w:pStyle w:val="829"/>
        <w:pBdr/>
        <w:spacing w:after="0" w:before="0"/>
        <w:ind/>
        <w:rPr>
          <w:rFonts w:eastAsia="SimSun"/>
          <w:sz w:val="20"/>
          <w:szCs w:val="20"/>
          <w:lang w:val="pt-BR"/>
        </w:rPr>
      </w:pPr>
      <w:r>
        <w:rPr>
          <w:rFonts w:eastAsia="SimSun"/>
          <w:sz w:val="20"/>
          <w:szCs w:val="20"/>
          <w:lang w:val="pt-BR"/>
        </w:rPr>
        <w:t xml:space="preserve">22. DAS INFRAÇÕES ADMINISTRATIVAS E SANÇÕES:</w:t>
      </w:r>
      <w:bookmarkStart w:id="26" w:name="_Hlk114652595"/>
      <w:r/>
      <w:bookmarkEnd w:id="26"/>
      <w:r>
        <w:rPr>
          <w:rFonts w:eastAsia="SimSun"/>
          <w:sz w:val="20"/>
          <w:szCs w:val="20"/>
          <w:lang w:val="pt-BR"/>
        </w:rPr>
      </w:r>
      <w:r>
        <w:rPr>
          <w:rFonts w:eastAsia="SimSun"/>
          <w:sz w:val="20"/>
          <w:szCs w:val="20"/>
          <w:lang w:val="pt-BR"/>
        </w:rPr>
      </w:r>
    </w:p>
    <w:p>
      <w:pPr>
        <w:pStyle w:val="828"/>
        <w:pBdr/>
        <w:spacing/>
        <w:ind/>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22.1.</w:t>
      </w:r>
      <w:r>
        <w:rPr>
          <w:rFonts w:ascii="Arial" w:hAnsi="Arial" w:cs="Arial"/>
        </w:rPr>
        <w:t xml:space="preserve"> A aplicação de</w:t>
      </w:r>
      <w:r>
        <w:rPr>
          <w:rFonts w:ascii="Arial" w:hAnsi="Arial" w:cs="Arial"/>
        </w:rPr>
        <w:t xml:space="preserve"> penalidade é de competência de cada Secretaria Demandante, </w:t>
      </w:r>
      <w:r>
        <w:rPr>
          <w:rFonts w:ascii="Arial" w:hAnsi="Arial" w:cs="Arial"/>
        </w:rPr>
        <w:t xml:space="preserve">ressalvado o caso de Advertência;</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22.2.</w:t>
      </w:r>
      <w:r>
        <w:rPr>
          <w:rFonts w:ascii="Arial" w:hAnsi="Arial" w:cs="Arial"/>
        </w:rPr>
        <w:t xml:space="preserve"> A</w:t>
      </w:r>
      <w:r>
        <w:rPr>
          <w:rFonts w:ascii="Arial" w:hAnsi="Arial" w:cs="Arial"/>
        </w:rPr>
        <w:t xml:space="preserve"> Contratada ficará sujeita as seguintes penalidades, caso deixar de cumprir os prazos e demais obrigações assumidas, observado o contraditório e ampla defesa nos termos do artigo 6º, XXIII da Lei de Licitações 14.133/2021 e o Decreto Municipal 11.685/2023;</w:t>
      </w:r>
      <w:r>
        <w:rPr>
          <w:rFonts w:ascii="Arial" w:hAnsi="Arial" w:cs="Arial"/>
        </w:rPr>
      </w:r>
    </w:p>
    <w:p>
      <w:pPr>
        <w:pStyle w:val="828"/>
        <w:pBdr/>
        <w:tabs>
          <w:tab w:val="left" w:leader="none" w:pos="3514"/>
        </w:tabs>
        <w:spacing/>
        <w:ind w:hanging="284" w:left="284"/>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22.2.1</w:t>
      </w:r>
      <w:r>
        <w:rPr>
          <w:rFonts w:ascii="Arial" w:hAnsi="Arial" w:cs="Arial"/>
        </w:rPr>
        <w:t xml:space="preserve">. </w:t>
      </w:r>
      <w:r>
        <w:rPr>
          <w:rFonts w:ascii="Arial" w:hAnsi="Arial" w:cs="Arial"/>
          <w:b/>
        </w:rPr>
        <w:t xml:space="preserve">Advertência</w:t>
      </w:r>
      <w:r>
        <w:rPr>
          <w:rFonts w:ascii="Arial" w:hAnsi="Arial" w:cs="Arial"/>
          <w:b/>
        </w:rPr>
        <w:t xml:space="preserve">s:</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a) Em qualquer hipótese de descumprimento do contrato;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b) A penalidade de advertência será aplicada pela administração do órgão recebedor do bem/serviço ou pelo fiscal do contrato. No documento de advertência deverá constar de forma detalhada a narrativa da infração;</w:t>
      </w:r>
      <w:r>
        <w:rPr>
          <w:rFonts w:ascii="Arial" w:hAnsi="Arial" w:cs="Arial"/>
        </w:rPr>
      </w:r>
    </w:p>
    <w:p>
      <w:pPr>
        <w:pStyle w:val="828"/>
        <w:pBdr/>
        <w:tabs>
          <w:tab w:val="left" w:leader="none" w:pos="3514"/>
        </w:tabs>
        <w:spacing/>
        <w:ind w:hanging="283" w:left="1134"/>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22.2.2</w:t>
      </w:r>
      <w:r>
        <w:rPr>
          <w:rFonts w:ascii="Arial" w:hAnsi="Arial" w:cs="Arial"/>
        </w:rPr>
        <w:t xml:space="preserve">. </w:t>
      </w:r>
      <w:r>
        <w:rPr>
          <w:rFonts w:ascii="Arial" w:hAnsi="Arial" w:cs="Arial"/>
          <w:b/>
        </w:rPr>
        <w:t xml:space="preserve">Multa de Mora:</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a) A multa de mora será aplicada pelo gestor do contrato e terá cabimento nas seguintes hipóteses;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b) Atraso na entrega e ou na troca de material/equipamento/serviço defeituosos: multa de 0,5% (meio por cento) do </w:t>
      </w:r>
      <w:r>
        <w:rPr>
          <w:rFonts w:ascii="Arial" w:hAnsi="Arial" w:cs="Arial"/>
        </w:rPr>
        <w:t xml:space="preserve">valor do contrato, por dia de atraso;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c) O atraso injustificado na entrega/prestação dos material/equipamento/serviço por prazo superior a 10 (dez) dias, caracteriza inadimplemento do contrato, podendo a administração optar pela continuidade da multa moratória ou pela rescisão contratual;</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d) No caso em que o atraso não exceder 10 (dez) dias, mas restar prejudicada a finalidade da contratação, também caracterizará inadimplemento do contrato;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e) Multa no valor de 5% (cinco por cento) do valor t</w:t>
      </w:r>
      <w:r>
        <w:rPr>
          <w:rFonts w:ascii="Arial" w:hAnsi="Arial" w:cs="Arial"/>
        </w:rPr>
        <w:t xml:space="preserve">otal do cont</w:t>
      </w:r>
      <w:r>
        <w:rPr>
          <w:rFonts w:ascii="Arial" w:hAnsi="Arial" w:cs="Arial"/>
        </w:rPr>
        <w:t xml:space="preserve">rato caso a entrega</w:t>
      </w:r>
      <w:r>
        <w:rPr>
          <w:rFonts w:ascii="Arial" w:hAnsi="Arial" w:cs="Arial"/>
        </w:rPr>
        <w:t xml:space="preserve"> do objeto não seja feito no local e horário especifica</w:t>
      </w:r>
      <w:r>
        <w:rPr>
          <w:rFonts w:ascii="Arial" w:hAnsi="Arial" w:cs="Arial"/>
        </w:rPr>
        <w:t xml:space="preserve">dos pela Secretaria Municipal Demandante</w:t>
      </w:r>
      <w:r>
        <w:rPr>
          <w:rFonts w:ascii="Arial" w:hAnsi="Arial" w:cs="Arial"/>
        </w:rPr>
        <w:t xml:space="preserve">;</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22.2.3</w:t>
      </w:r>
      <w:r>
        <w:rPr>
          <w:rFonts w:ascii="Arial" w:hAnsi="Arial" w:cs="Arial"/>
        </w:rPr>
        <w:t xml:space="preserve">. </w:t>
      </w:r>
      <w:r>
        <w:rPr>
          <w:rFonts w:ascii="Arial" w:hAnsi="Arial" w:cs="Arial"/>
          <w:b/>
        </w:rPr>
        <w:t xml:space="preserve">Multa por inadimplemento total ou parcial:</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a) Caracteriza inadimplemento total do contrato quando a finalidade da contratação restar prejudicada;</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b) Caracteriza inadimplemento parcial do contrato quando for cumprido apenas uma parte do objeto;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c) A inexecução total do contrato sujeitará a Contratada à multa de 20% (vinte por cento) do valor total do contrato, sem prejuízo das penal</w:t>
      </w:r>
      <w:r>
        <w:rPr>
          <w:rFonts w:ascii="Arial" w:hAnsi="Arial" w:cs="Arial"/>
        </w:rPr>
        <w:t xml:space="preserve">idades de Declaração de Inidoneidade ou Suspensão do Direito de Licitar;</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d) O fornecimento parcial no que tange aos quantitativos solicitados do objeto sujeitará a Contratada à multa de 5% (cinco por cento) do valor do contrato, sem prejuízo da reposição;</w:t>
      </w:r>
      <w:r>
        <w:rPr>
          <w:rFonts w:ascii="Arial" w:hAnsi="Arial" w:cs="Arial"/>
        </w:rPr>
      </w:r>
    </w:p>
    <w:p>
      <w:pPr>
        <w:pStyle w:val="828"/>
        <w:pBdr/>
        <w:tabs>
          <w:tab w:val="left" w:leader="none" w:pos="3514"/>
        </w:tabs>
        <w:spacing/>
        <w:ind w:hanging="283" w:left="1134"/>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e) O fornecimento do objeto em níveis de qualidade inferior ou diverso ao ofertado na proposta de preços sujeita a Contratada à multa de 5% (cinco por cento) do valor total do contrato, devendo ainda os materiais/equipamentos/serviços ser substituídos;</w:t>
      </w:r>
      <w:r>
        <w:rPr>
          <w:rFonts w:ascii="Arial" w:hAnsi="Arial" w:cs="Arial"/>
        </w:rPr>
      </w:r>
    </w:p>
    <w:p>
      <w:pPr>
        <w:pStyle w:val="828"/>
        <w:pBdr/>
        <w:tabs>
          <w:tab w:val="left" w:leader="none" w:pos="3514"/>
        </w:tabs>
        <w:spacing/>
        <w:ind w:hanging="283" w:left="1134"/>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f) Suspensão temporária do direito de licitar e contratar com a Administração Municipal pelo prazo de até 02 (dois) anos;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t xml:space="preserve">g) Declaração de inidoneidade, enquanto perdurarem os motivos da punição ou até que seja promovida a reabilitação perante a própria autoridade que aplicou a penalidade;</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22.3.</w:t>
      </w:r>
      <w:r>
        <w:rPr>
          <w:rFonts w:ascii="Arial" w:hAnsi="Arial" w:cs="Arial"/>
        </w:rPr>
        <w:t xml:space="preserve"> O valor das multas aplicadas serão sempre deduzidas do pagamento da Nota Fiscal ou em caso de ausência de saldo a receber, deverá ser cobrado judicialmente;</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22.4.</w:t>
      </w:r>
      <w:r>
        <w:rPr>
          <w:rFonts w:ascii="Arial" w:hAnsi="Arial" w:cs="Arial"/>
        </w:rPr>
        <w:t xml:space="preserve"> As ocorrências relacionadas com a execução do con</w:t>
      </w:r>
      <w:r>
        <w:rPr>
          <w:rFonts w:ascii="Arial" w:hAnsi="Arial" w:cs="Arial"/>
        </w:rPr>
        <w:t xml:space="preserve">trato serão anotadas pelo fiscal do contrato nos moldes do artigo 6º, XXIII da Lei de Licitações 14.133/2021 e o Decreto Municipal 11.685/2023;</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bCs/>
        </w:rPr>
        <w:t xml:space="preserve">22.5</w:t>
      </w:r>
      <w:r>
        <w:rPr>
          <w:rFonts w:ascii="Arial" w:hAnsi="Arial" w:cs="Arial"/>
        </w:rPr>
        <w:t xml:space="preserve">. As multas previstas não têm caráter compensatório e, consequentemente, o pagamento delas não eximem a Contratada da reparação dos eventuais danos, perdas ou prejuízos que seu ato punível ve</w:t>
      </w:r>
      <w:bookmarkStart w:id="27" w:name="__RefHeading___Toc190782030"/>
      <w:r>
        <w:rPr>
          <w:rFonts w:ascii="Arial" w:hAnsi="Arial" w:cs="Arial"/>
        </w:rPr>
        <w:t xml:space="preserve">nha a acarretar à administração.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eastAsia="SimSun" w:cs="Arial"/>
          <w:b/>
        </w:rPr>
        <w:t xml:space="preserve">23. GESTÃO DE CONTRATO E FISCALIZAÇÃO:</w:t>
      </w:r>
      <w:r>
        <w:rPr>
          <w:rFonts w:ascii="Arial" w:hAnsi="Arial" w:cs="Arial"/>
        </w:rPr>
      </w:r>
      <w:r>
        <w:rPr>
          <w:rFonts w:ascii="Arial" w:hAnsi="Arial" w:cs="Arial"/>
        </w:rPr>
      </w:r>
    </w:p>
    <w:p>
      <w:pPr>
        <w:pStyle w:val="828"/>
        <w:pBdr/>
        <w:tabs>
          <w:tab w:val="left" w:leader="none" w:pos="3514"/>
        </w:tabs>
        <w:spacing/>
        <w:ind/>
        <w:jc w:val="both"/>
        <w:rPr>
          <w:rFonts w:ascii="Arial" w:hAnsi="Arial" w:eastAsia="SimSun" w:cs="Arial"/>
          <w:b/>
        </w:rPr>
      </w:pPr>
      <w:r>
        <w:rPr>
          <w:rFonts w:ascii="Arial" w:hAnsi="Arial" w:eastAsia="SimSun" w:cs="Arial"/>
          <w:b/>
        </w:rPr>
      </w:r>
      <w:r>
        <w:rPr>
          <w:rFonts w:ascii="Arial" w:hAnsi="Arial" w:eastAsia="SimSun" w:cs="Arial"/>
          <w:b/>
        </w:rPr>
      </w:r>
    </w:p>
    <w:p>
      <w:pPr>
        <w:pStyle w:val="828"/>
        <w:pBdr/>
        <w:tabs>
          <w:tab w:val="left" w:leader="none" w:pos="3514"/>
        </w:tabs>
        <w:spacing/>
        <w:ind/>
        <w:jc w:val="both"/>
        <w:rPr>
          <w:rFonts w:ascii="Arial" w:hAnsi="Arial" w:cs="Arial"/>
        </w:rPr>
      </w:pPr>
      <w:r>
        <w:rPr>
          <w:rFonts w:ascii="Arial" w:hAnsi="Arial" w:eastAsia="SimSun" w:cs="Arial"/>
          <w:b/>
        </w:rPr>
        <w:t xml:space="preserve">23.1</w:t>
      </w:r>
      <w:r>
        <w:rPr>
          <w:rFonts w:ascii="Arial" w:hAnsi="Arial" w:eastAsia="SimSun" w:cs="Arial"/>
        </w:rPr>
        <w:t xml:space="preserve">.O regime de execução contratual, os modelos de gestão e de execução, assim como os prazos, co</w:t>
      </w:r>
      <w:r>
        <w:rPr>
          <w:rFonts w:ascii="Arial" w:hAnsi="Arial" w:eastAsia="SimSun" w:cs="Arial"/>
        </w:rPr>
        <w:t xml:space="preserve">ndições de conclusão e a entrega estão indicados nos itens VIII desse Termo de Referência.</w:t>
      </w:r>
      <w:r>
        <w:rPr>
          <w:rFonts w:ascii="Arial" w:hAnsi="Arial" w:cs="Arial"/>
        </w:rPr>
      </w:r>
      <w:r>
        <w:rPr>
          <w:rFonts w:ascii="Arial" w:hAnsi="Arial" w:cs="Arial"/>
        </w:rPr>
      </w:r>
    </w:p>
    <w:p>
      <w:pPr>
        <w:pStyle w:val="828"/>
        <w:pBdr/>
        <w:tabs>
          <w:tab w:val="left" w:leader="none" w:pos="3514"/>
        </w:tabs>
        <w:spacing/>
        <w:ind/>
        <w:jc w:val="both"/>
        <w:rPr>
          <w:rFonts w:ascii="Arial" w:hAnsi="Arial" w:eastAsia="SimSun" w:cs="Arial"/>
          <w:b/>
        </w:rPr>
      </w:pPr>
      <w:r>
        <w:rPr>
          <w:rFonts w:ascii="Arial" w:hAnsi="Arial" w:eastAsia="SimSun" w:cs="Arial"/>
          <w:b/>
        </w:rPr>
      </w:r>
      <w:r>
        <w:rPr>
          <w:rFonts w:ascii="Arial" w:hAnsi="Arial" w:eastAsia="SimSun" w:cs="Arial"/>
          <w:b/>
        </w:rPr>
      </w:r>
    </w:p>
    <w:p>
      <w:pPr>
        <w:pStyle w:val="828"/>
        <w:pBdr/>
        <w:tabs>
          <w:tab w:val="left" w:leader="none" w:pos="3514"/>
        </w:tabs>
        <w:spacing/>
        <w:ind/>
        <w:jc w:val="both"/>
        <w:rPr>
          <w:rFonts w:ascii="Arial" w:hAnsi="Arial" w:cs="Arial"/>
        </w:rPr>
      </w:pPr>
      <w:r>
        <w:rPr>
          <w:rFonts w:ascii="Arial" w:hAnsi="Arial" w:eastAsia="SimSun" w:cs="Arial"/>
          <w:b/>
        </w:rPr>
        <w:t xml:space="preserve">23.2.</w:t>
      </w:r>
      <w:r>
        <w:rPr>
          <w:rFonts w:ascii="Arial" w:hAnsi="Arial" w:eastAsia="SimSun" w:cs="Arial"/>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rPr>
      </w:r>
      <w:r>
        <w:rPr>
          <w:rFonts w:ascii="Arial" w:hAnsi="Arial" w:cs="Arial"/>
        </w:rPr>
      </w:r>
    </w:p>
    <w:p>
      <w:pPr>
        <w:pStyle w:val="828"/>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tabs>
          <w:tab w:val="left" w:leader="none" w:pos="3514"/>
        </w:tabs>
        <w:spacing/>
        <w:ind/>
        <w:jc w:val="both"/>
        <w:rPr>
          <w:rFonts w:ascii="Arial" w:hAnsi="Arial" w:cs="Arial"/>
        </w:rPr>
      </w:pPr>
      <w:r>
        <w:rPr>
          <w:rFonts w:ascii="Arial" w:hAnsi="Arial" w:eastAsia="SimSun" w:cs="Arial"/>
          <w:b/>
        </w:rPr>
        <w:t xml:space="preserve">23.3.</w:t>
      </w:r>
      <w:r>
        <w:rPr>
          <w:rFonts w:ascii="Arial" w:hAnsi="Arial" w:eastAsia="SimSun" w:cs="Arial"/>
        </w:rPr>
        <w:t xml:space="preserve"> A execução do contrato deverá ser acompanhada e fiscalizada pelo (a) fiscal do contrato, ou, em caso de afastamentos legais, pelos respectivos (as) substitutos (as).</w:t>
      </w:r>
      <w:r>
        <w:rPr>
          <w:rFonts w:ascii="Arial" w:hAnsi="Arial" w:cs="Arial"/>
        </w:rPr>
      </w:r>
      <w:r>
        <w:rPr>
          <w:rFonts w:ascii="Arial" w:hAnsi="Arial" w:cs="Arial"/>
        </w:rPr>
      </w:r>
    </w:p>
    <w:p>
      <w:pPr>
        <w:pStyle w:val="828"/>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tabs>
          <w:tab w:val="left" w:leader="none" w:pos="3514"/>
        </w:tabs>
        <w:spacing/>
        <w:ind/>
        <w:jc w:val="both"/>
        <w:rPr>
          <w:rFonts w:ascii="Arial" w:hAnsi="Arial" w:cs="Arial"/>
        </w:rPr>
      </w:pPr>
      <w:r>
        <w:rPr>
          <w:rFonts w:ascii="Arial" w:hAnsi="Arial" w:eastAsia="SimSun" w:cs="Arial"/>
          <w:b/>
        </w:rPr>
        <w:t xml:space="preserve">23.4.</w:t>
      </w:r>
      <w:r>
        <w:rPr>
          <w:rFonts w:ascii="Arial" w:hAnsi="Arial" w:eastAsia="SimSun" w:cs="Arial"/>
        </w:rPr>
        <w:t xml:space="preserve"> Os (As) gestores e fiscai</w:t>
      </w:r>
      <w:r>
        <w:rPr>
          <w:rFonts w:ascii="Arial" w:hAnsi="Arial" w:eastAsia="SimSun" w:cs="Arial"/>
        </w:rPr>
        <w:t xml:space="preserve">s de contrato devem ser previamente designados (as), através de Portaria geral ou específica, preferencialmente por meio eletrônico, bem como os (as) titulares e substitutos.</w:t>
      </w:r>
      <w:r>
        <w:rPr>
          <w:rFonts w:ascii="Arial" w:hAnsi="Arial" w:cs="Arial"/>
        </w:rPr>
      </w:r>
      <w:r>
        <w:rPr>
          <w:rFonts w:ascii="Arial" w:hAnsi="Arial" w:cs="Arial"/>
        </w:rPr>
      </w:r>
    </w:p>
    <w:p>
      <w:pPr>
        <w:pStyle w:val="828"/>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tabs>
          <w:tab w:val="left" w:leader="none" w:pos="3514"/>
        </w:tabs>
        <w:spacing/>
        <w:ind/>
        <w:jc w:val="both"/>
        <w:rPr>
          <w:rFonts w:ascii="Arial" w:hAnsi="Arial" w:cs="Arial"/>
        </w:rPr>
      </w:pPr>
      <w:r>
        <w:rPr>
          <w:rFonts w:ascii="Arial" w:hAnsi="Arial" w:eastAsia="SimSun" w:cs="Arial"/>
          <w:b/>
        </w:rPr>
        <w:t xml:space="preserve">23.5.</w:t>
      </w:r>
      <w:r>
        <w:rPr>
          <w:rFonts w:ascii="Arial" w:hAnsi="Arial" w:eastAsia="SimSun" w:cs="Arial"/>
        </w:rPr>
        <w:t xml:space="preserve"> Não obstante a (s) Contratada (s) seja (m) a (s) única (s</w:t>
      </w:r>
      <w:r>
        <w:rPr>
          <w:rFonts w:ascii="Arial" w:hAnsi="Arial" w:eastAsia="SimSun" w:cs="Arial"/>
        </w:rPr>
        <w:t xml:space="preserve">) e exclusiva (s) responsável (is) pela execução do contrato, a Contratante reserva-se o direito de, sem que de qualquer forma restrinja a plenitude dessa responsabilidade, exercer a mais ampla e completa fiscalização sobre a execução do objeto contratado.</w:t>
      </w:r>
      <w:r>
        <w:rPr>
          <w:rFonts w:ascii="Arial" w:hAnsi="Arial" w:cs="Arial"/>
        </w:rPr>
      </w:r>
      <w:r>
        <w:rPr>
          <w:rFonts w:ascii="Arial" w:hAnsi="Arial" w:cs="Arial"/>
        </w:rPr>
      </w:r>
    </w:p>
    <w:p>
      <w:pPr>
        <w:pStyle w:val="828"/>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tabs>
          <w:tab w:val="left" w:leader="none" w:pos="3514"/>
        </w:tabs>
        <w:spacing/>
        <w:ind/>
        <w:jc w:val="both"/>
        <w:rPr>
          <w:rFonts w:ascii="Arial" w:hAnsi="Arial" w:cs="Arial"/>
        </w:rPr>
      </w:pPr>
      <w:r>
        <w:rPr>
          <w:rFonts w:ascii="Arial" w:hAnsi="Arial" w:eastAsia="SimSun" w:cs="Arial"/>
          <w:b/>
        </w:rPr>
        <w:t xml:space="preserve">23.6.</w:t>
      </w:r>
      <w:r>
        <w:rPr>
          <w:rFonts w:ascii="Arial" w:hAnsi="Arial" w:eastAsia="SimSun" w:cs="Arial"/>
        </w:rPr>
        <w:t xml:space="preserve"> O (A) Fis</w:t>
      </w:r>
      <w:r>
        <w:rPr>
          <w:rFonts w:ascii="Arial" w:hAnsi="Arial" w:eastAsia="SimSun" w:cs="Arial"/>
        </w:rPr>
        <w:t xml:space="preserve">cal do Contrato é o agente público </w:t>
      </w:r>
      <w:r>
        <w:rPr>
          <w:rFonts w:ascii="Arial" w:hAnsi="Arial" w:eastAsia="SimSun" w:cs="Arial"/>
        </w:rPr>
        <w:t xml:space="preserve">responsável por aplicar as ações estabelecidas sempre que for preciso e desempenhar com eficiência e zelo todas as atribuições a ele (ela) incumbidas na legislação aplicável, em especial aquelas indicadas na subseção V do Decreto Municipal n.º 11.685/2023.</w:t>
      </w:r>
      <w:r>
        <w:rPr>
          <w:rFonts w:ascii="Arial" w:hAnsi="Arial" w:cs="Arial"/>
        </w:rPr>
      </w:r>
      <w:r>
        <w:rPr>
          <w:rFonts w:ascii="Arial" w:hAnsi="Arial" w:cs="Arial"/>
        </w:rPr>
      </w:r>
    </w:p>
    <w:p>
      <w:pPr>
        <w:pStyle w:val="828"/>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tabs>
          <w:tab w:val="left" w:leader="none" w:pos="3514"/>
        </w:tabs>
        <w:spacing/>
        <w:ind/>
        <w:jc w:val="both"/>
        <w:rPr>
          <w:rFonts w:ascii="Arial" w:hAnsi="Arial" w:cs="Arial"/>
        </w:rPr>
      </w:pPr>
      <w:r>
        <w:rPr>
          <w:rFonts w:ascii="Arial" w:hAnsi="Arial" w:eastAsia="SimSun" w:cs="Arial"/>
          <w:b/>
        </w:rPr>
        <w:t xml:space="preserve">23.7.</w:t>
      </w:r>
      <w:r>
        <w:rPr>
          <w:rFonts w:ascii="Arial" w:hAnsi="Arial" w:eastAsia="SimSun" w:cs="Arial"/>
        </w:rPr>
        <w:t xml:space="preserve"> Conforme o artigo 7º da Lei nº 14.133/2021 e o artigo 8º do Decreto nº 11.246/2022, devendo a Administração Pública instruir os autos com as publicações dos atos de designação dos agentes públicos para o exercício</w:t>
      </w:r>
      <w:r>
        <w:rPr>
          <w:rFonts w:ascii="Arial" w:hAnsi="Arial" w:eastAsia="SimSun" w:cs="Arial"/>
        </w:rPr>
        <w:t xml:space="preserve"> dessas funções.</w:t>
      </w:r>
      <w:r>
        <w:rPr>
          <w:rFonts w:ascii="Arial" w:hAnsi="Arial" w:cs="Arial"/>
        </w:rPr>
      </w:r>
      <w:r>
        <w:rPr>
          <w:rFonts w:ascii="Arial" w:hAnsi="Arial" w:cs="Arial"/>
        </w:rPr>
      </w:r>
    </w:p>
    <w:p>
      <w:pPr>
        <w:pStyle w:val="828"/>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tabs>
          <w:tab w:val="left" w:leader="none" w:pos="3514"/>
        </w:tabs>
        <w:spacing/>
        <w:ind/>
        <w:jc w:val="both"/>
        <w:rPr>
          <w:rFonts w:ascii="Arial" w:hAnsi="Arial" w:eastAsia="SimSun" w:cs="Arial"/>
        </w:rPr>
      </w:pPr>
      <w:r>
        <w:rPr>
          <w:rFonts w:ascii="Arial" w:hAnsi="Arial" w:eastAsia="SimSun" w:cs="Arial"/>
          <w:b/>
        </w:rPr>
        <w:t xml:space="preserve">23.8.</w:t>
      </w:r>
      <w:r>
        <w:rPr>
          <w:rFonts w:ascii="Arial" w:hAnsi="Arial" w:eastAsia="SimSun" w:cs="Arial"/>
        </w:rPr>
        <w:t xml:space="preserve"> O (A) fiscal do contrato informará a seus superiores, em tempo hábil para a adoção das medidas convenientes, a situação que demandar decisão ou providência que ultrapasse sua competência.</w:t>
      </w:r>
      <w:r>
        <w:rPr>
          <w:rFonts w:ascii="Arial" w:hAnsi="Arial" w:eastAsia="SimSun" w:cs="Arial"/>
        </w:rPr>
      </w:r>
      <w:r>
        <w:rPr>
          <w:rFonts w:ascii="Arial" w:hAnsi="Arial" w:eastAsia="SimSun" w:cs="Arial"/>
        </w:rPr>
      </w:r>
    </w:p>
    <w:p>
      <w:pPr>
        <w:pStyle w:val="829"/>
        <w:pBdr/>
        <w:spacing/>
        <w:ind/>
        <w:rPr>
          <w:sz w:val="20"/>
          <w:szCs w:val="20"/>
          <w:lang w:val="pt-BR"/>
        </w:rPr>
      </w:pPr>
      <w:r>
        <w:rPr>
          <w:rFonts w:eastAsia="SimSun"/>
          <w:sz w:val="20"/>
          <w:szCs w:val="20"/>
          <w:lang w:val="pt-BR"/>
        </w:rPr>
        <w:t xml:space="preserve">24. </w:t>
      </w:r>
      <w:r>
        <w:rPr>
          <w:rFonts w:eastAsia="SimSun"/>
          <w:sz w:val="20"/>
          <w:szCs w:val="20"/>
          <w:lang w:val="pt-BR"/>
        </w:rPr>
        <w:t xml:space="preserve">CRITÉRIOS DE MEDIÇÃO E DE</w:t>
      </w:r>
      <w:r>
        <w:rPr>
          <w:rFonts w:eastAsia="SimSun"/>
          <w:sz w:val="20"/>
          <w:szCs w:val="20"/>
          <w:lang w:val="pt-BR"/>
        </w:rPr>
        <w:t xml:space="preserve"> PAGAMENTO:</w:t>
      </w:r>
      <w:bookmarkEnd w:id="27"/>
      <w:r>
        <w:rPr>
          <w:rFonts w:eastAsia="SimSun"/>
          <w:sz w:val="20"/>
          <w:szCs w:val="20"/>
          <w:lang w:val="pt-BR"/>
        </w:rPr>
        <w:t xml:space="preserve"> </w:t>
      </w:r>
      <w:r>
        <w:rPr>
          <w:sz w:val="20"/>
          <w:szCs w:val="20"/>
          <w:lang w:val="pt-BR"/>
        </w:rPr>
      </w:r>
      <w:r>
        <w:rPr>
          <w:sz w:val="20"/>
          <w:szCs w:val="20"/>
          <w:lang w:val="pt-BR"/>
        </w:rPr>
      </w:r>
    </w:p>
    <w:p>
      <w:pPr>
        <w:pStyle w:val="828"/>
        <w:pBdr/>
        <w:spacing/>
        <w:ind/>
        <w:jc w:val="both"/>
        <w:rPr>
          <w:rFonts w:ascii="Arial" w:hAnsi="Arial" w:eastAsia="SimSun" w:cs="Arial"/>
        </w:rPr>
      </w:pPr>
      <w:r>
        <w:rPr>
          <w:rFonts w:ascii="Arial" w:hAnsi="Arial" w:eastAsia="SimSun" w:cs="Arial"/>
        </w:rPr>
      </w:r>
      <w:r>
        <w:rPr>
          <w:rFonts w:ascii="Arial" w:hAnsi="Arial" w:eastAsia="SimSun" w:cs="Arial"/>
        </w:rPr>
      </w:r>
    </w:p>
    <w:p>
      <w:pPr>
        <w:pStyle w:val="828"/>
        <w:pBdr/>
        <w:spacing/>
        <w:ind/>
        <w:jc w:val="both"/>
        <w:rPr>
          <w:rFonts w:ascii="Arial" w:hAnsi="Arial" w:cs="Arial"/>
          <w:b/>
        </w:rPr>
      </w:pPr>
      <w:r>
        <w:rPr>
          <w:rFonts w:ascii="Arial" w:hAnsi="Arial" w:cs="Arial"/>
          <w:b/>
        </w:rPr>
        <w:t xml:space="preserve">24.1. </w:t>
      </w:r>
      <w:r>
        <w:rPr>
          <w:rFonts w:ascii="Arial" w:hAnsi="Arial" w:cs="Arial"/>
        </w:rPr>
        <w:t xml:space="preserve">O recebimento do insumo se dará pelo responsável por seu acompanhamento e fiscalização (artigo 140, Inciso II, alínea “a” da Lei n.º 14.133/2021), no ato da entrega dos bens, mediante Relatório, contendo o registro, a análise e a conclusão acerca das </w:t>
      </w:r>
      <w:r>
        <w:rPr>
          <w:rFonts w:ascii="Arial" w:hAnsi="Arial" w:cs="Arial"/>
        </w:rPr>
        <w:t xml:space="preserve">ocorrências na execução do contrato. Deverão, também, serem anexados os demais documentos que o responsável julgar necessário e, encontrando irregularidade, fixará prazo para correção.</w:t>
      </w: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t xml:space="preserve">24.1.2. </w:t>
      </w:r>
      <w:r>
        <w:rPr>
          <w:rFonts w:ascii="Arial" w:hAnsi="Arial" w:cs="Arial"/>
        </w:rPr>
        <w:t xml:space="preserve">A fiscalização notificará o contratado para se for o caso, no prazo de até 05 (cinco) dias úteis, impugnar os apontamentos do Relatório ou emitir a Nota Fiscal/Fatura no valor apurado.</w:t>
      </w: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t xml:space="preserve">24.1.3. </w:t>
      </w:r>
      <w:r>
        <w:rPr>
          <w:rFonts w:ascii="Arial" w:hAnsi="Arial" w:cs="Arial"/>
        </w:rPr>
        <w:t xml:space="preserve">Realizar a análise dos relatórios e de toda a documentação apresentada pela fiscalização e, caso haja irregularidades que im</w:t>
      </w:r>
      <w:r>
        <w:rPr>
          <w:rFonts w:ascii="Arial" w:hAnsi="Arial" w:cs="Arial"/>
        </w:rPr>
        <w:t xml:space="preserve">peçam a liquidação e o pagamento da despesa, indicar as cláusulas contratuais pertinentes, solicitando ao contratado, por escrito, as respectivas correções;</w:t>
      </w: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t xml:space="preserve">24.1.4. </w:t>
      </w:r>
      <w:r>
        <w:rPr>
          <w:rFonts w:ascii="Arial" w:hAnsi="Arial" w:cs="Arial"/>
        </w:rPr>
        <w:t xml:space="preserve">Realizar a aposição de assinatura nas vias do Documento Auxiliar da NF-e (Danfe) ou na Nota Fiscal, emitida pelo contratado para os bens fornecidos.</w:t>
      </w: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24.2. </w:t>
      </w:r>
      <w:r>
        <w:rPr>
          <w:rFonts w:ascii="Arial" w:hAnsi="Arial" w:cs="Arial"/>
        </w:rPr>
        <w:t xml:space="preserve">Pelo fiel e perfeito fornecimento do objeto desta licitação, o município de Rondonópolis-MT, pagará o valor total, em Reais (R$), à Contratada, mediante a entrega da Nota Fiscal, devidamente</w:t>
      </w:r>
      <w:r>
        <w:rPr>
          <w:rFonts w:ascii="Arial" w:hAnsi="Arial" w:cs="Arial"/>
        </w:rPr>
        <w:t xml:space="preserve"> atestada pela Secretaria solicitante, que corresponderá ao valor do objeto licitado entregue, após verificação;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24.3</w:t>
      </w:r>
      <w:r>
        <w:rPr>
          <w:rFonts w:ascii="Arial" w:hAnsi="Arial" w:cs="Arial"/>
          <w:b/>
        </w:rPr>
        <w:t xml:space="preserve">.</w:t>
      </w:r>
      <w:r>
        <w:rPr>
          <w:rFonts w:ascii="Arial" w:hAnsi="Arial" w:cs="Arial"/>
        </w:rPr>
        <w:t xml:space="preserve"> No preço a ser pago deverão estar inc</w:t>
      </w:r>
      <w:r>
        <w:rPr>
          <w:rFonts w:ascii="Arial" w:hAnsi="Arial" w:cs="Arial"/>
        </w:rPr>
        <w:t xml:space="preserve">lusas todas as despesas inerentes a: salários, encargos sociais, tributários, trabalhistas, comerciais (inclusive frete), materiais, enfim todas as despesas necessárias ao fornecimento do objeto deste Pregão a ser entregue no município de Rondonópolis-MT;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24.4</w:t>
      </w:r>
      <w:r>
        <w:rPr>
          <w:rFonts w:ascii="Arial" w:hAnsi="Arial" w:cs="Arial"/>
          <w:b/>
        </w:rPr>
        <w:t xml:space="preserve">.</w:t>
      </w:r>
      <w:r>
        <w:rPr>
          <w:rFonts w:ascii="Arial" w:hAnsi="Arial" w:cs="Arial"/>
        </w:rPr>
        <w:t xml:space="preserve"> O pagamento será realizado conforme termo de referência/contrato, devendo ainda atender ao</w:t>
      </w:r>
      <w:r>
        <w:rPr>
          <w:rFonts w:ascii="Arial" w:hAnsi="Arial" w:cs="Arial"/>
        </w:rPr>
        <w:t xml:space="preserve">s termos do art. 60 da Lei federal n.º 4.320, de 17/03/1964, em até 30 (trinta) dias</w:t>
      </w:r>
      <w:r>
        <w:rPr>
          <w:rFonts w:ascii="Arial" w:hAnsi="Arial" w:cs="Arial"/>
        </w:rPr>
        <w:t xml:space="preserve"> uteis</w:t>
      </w:r>
      <w:r>
        <w:rPr>
          <w:rFonts w:ascii="Arial" w:hAnsi="Arial" w:cs="Arial"/>
        </w:rPr>
        <w:t xml:space="preserve"> após entrega e atesto de recebimento definitivo do objeto licitado, mediante apresentação da N</w:t>
      </w:r>
      <w:r>
        <w:rPr>
          <w:rFonts w:ascii="Arial" w:hAnsi="Arial" w:cs="Arial"/>
        </w:rPr>
        <w:t xml:space="preserve">ota Fiscal, atestada pelo servidor responsável da CONTRATANTE , devidamente acompanhada dos documentos estabelecidos na Legislação Vigente ou o que venha a substituí-los, através de boleto ou transferência bancaria em conta jurídica da empresa contratada.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24.5</w:t>
      </w:r>
      <w:r>
        <w:rPr>
          <w:rFonts w:ascii="Arial" w:hAnsi="Arial" w:cs="Arial"/>
          <w:b/>
        </w:rPr>
        <w:t xml:space="preserve">.</w:t>
      </w:r>
      <w:r>
        <w:rPr>
          <w:rFonts w:ascii="Arial" w:hAnsi="Arial" w:cs="Arial"/>
        </w:rPr>
        <w:t xml:space="preserve"> A nota fiscal deverá conter atestados firmados pelo servidor en</w:t>
      </w:r>
      <w:r>
        <w:rPr>
          <w:rFonts w:ascii="Arial" w:hAnsi="Arial" w:cs="Arial"/>
        </w:rPr>
        <w:t xml:space="preserve">carregado de fiscalizar o recebimento, comprovando a entrega do objeto contratado;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24.6</w:t>
      </w:r>
      <w:r>
        <w:rPr>
          <w:rFonts w:ascii="Arial" w:hAnsi="Arial" w:cs="Arial"/>
          <w:b/>
        </w:rPr>
        <w:t xml:space="preserve">.</w:t>
      </w:r>
      <w:r>
        <w:rPr>
          <w:rFonts w:ascii="Arial" w:hAnsi="Arial" w:cs="Arial"/>
        </w:rPr>
        <w:t xml:space="preserve"> A contratada deverá indicar no corpo da nota fiscal, n. do contrato, mês de referência, descrição dos produtos, o número e nome do banco, agência e número da conta, na qual deverá ser feito o pagamento, via ordem bancária; </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u w:val="single"/>
        </w:rPr>
      </w:pPr>
      <w:r>
        <w:rPr>
          <w:rFonts w:ascii="Arial" w:hAnsi="Arial" w:cs="Arial"/>
          <w:b/>
          <w:u w:val="single"/>
        </w:rPr>
        <w:t xml:space="preserve">24.7. </w:t>
      </w:r>
      <w:r>
        <w:rPr>
          <w:rFonts w:ascii="Arial" w:hAnsi="Arial" w:cs="Arial"/>
          <w:u w:val="single"/>
        </w:rPr>
        <w:t xml:space="preserve">O prazo para liquidação será de </w:t>
      </w:r>
      <w:r>
        <w:rPr>
          <w:rFonts w:ascii="Arial" w:hAnsi="Arial" w:cs="Arial"/>
          <w:u w:val="single"/>
        </w:rPr>
        <w:t xml:space="preserve">até 30</w:t>
      </w:r>
      <w:r>
        <w:rPr>
          <w:rFonts w:ascii="Arial" w:hAnsi="Arial" w:cs="Arial"/>
          <w:u w:val="single"/>
        </w:rPr>
        <w:t xml:space="preserve"> (</w:t>
      </w:r>
      <w:r>
        <w:rPr>
          <w:rFonts w:ascii="Arial" w:hAnsi="Arial" w:cs="Arial"/>
          <w:u w:val="single"/>
        </w:rPr>
        <w:t xml:space="preserve">trinta</w:t>
      </w:r>
      <w:r>
        <w:rPr>
          <w:rFonts w:ascii="Arial" w:hAnsi="Arial" w:cs="Arial"/>
          <w:u w:val="single"/>
        </w:rPr>
        <w:t xml:space="preserve">) dias úteis.</w:t>
      </w:r>
      <w:r>
        <w:rPr>
          <w:rFonts w:ascii="Arial" w:hAnsi="Arial" w:cs="Arial"/>
          <w:u w:val="single"/>
        </w:rPr>
      </w:r>
    </w:p>
    <w:p>
      <w:pPr>
        <w:pStyle w:val="828"/>
        <w:pBdr/>
        <w:spacing/>
        <w:ind/>
        <w:jc w:val="both"/>
        <w:rPr>
          <w:rFonts w:ascii="Arial" w:hAnsi="Arial" w:cs="Arial"/>
          <w:b/>
          <w:u w:val="single"/>
        </w:rPr>
      </w:pPr>
      <w:r>
        <w:rPr>
          <w:rFonts w:ascii="Arial" w:hAnsi="Arial" w:cs="Arial"/>
          <w:b/>
          <w:u w:val="single"/>
        </w:rPr>
      </w:r>
      <w:r>
        <w:rPr>
          <w:rFonts w:ascii="Arial" w:hAnsi="Arial" w:cs="Arial"/>
          <w:b/>
          <w:u w:val="single"/>
        </w:rPr>
      </w:r>
    </w:p>
    <w:p>
      <w:pPr>
        <w:pStyle w:val="828"/>
        <w:pBdr/>
        <w:spacing/>
        <w:ind/>
        <w:jc w:val="both"/>
        <w:rPr>
          <w:rFonts w:ascii="Arial" w:hAnsi="Arial" w:cs="Arial"/>
        </w:rPr>
      </w:pPr>
      <w:r>
        <w:rPr>
          <w:rFonts w:ascii="Arial" w:hAnsi="Arial" w:cs="Arial"/>
          <w:b/>
        </w:rPr>
        <w:t xml:space="preserve">24.8</w:t>
      </w:r>
      <w:r>
        <w:rPr>
          <w:rFonts w:ascii="Arial" w:hAnsi="Arial" w:cs="Arial"/>
          <w:b/>
        </w:rPr>
        <w:t xml:space="preserve">.</w:t>
      </w:r>
      <w:r>
        <w:rPr>
          <w:rFonts w:ascii="Arial" w:hAnsi="Arial" w:cs="Arial"/>
        </w:rPr>
        <w:t xml:space="preserve"> O Município de Rondonópolis efetuará o pagamento por meio de ordem bancária, tomada junto ao Banco ou Cooperativa, endereça</w:t>
      </w:r>
      <w:r>
        <w:rPr>
          <w:rFonts w:ascii="Arial" w:hAnsi="Arial" w:cs="Arial"/>
        </w:rPr>
        <w:t xml:space="preserve">da ao banco discriminado na nota fiscal;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24.9</w:t>
      </w:r>
      <w:r>
        <w:rPr>
          <w:rFonts w:ascii="Arial" w:hAnsi="Arial" w:cs="Arial"/>
          <w:b/>
        </w:rPr>
        <w:t xml:space="preserve">.</w:t>
      </w:r>
      <w:r>
        <w:rPr>
          <w:rFonts w:ascii="Arial" w:hAnsi="Arial" w:cs="Arial"/>
        </w:rPr>
        <w:t xml:space="preserve"> Constando qualquer incorreção na nota fiscal, bem como, outra circunstância que desaconselhe o seu pagamento, o prazo para </w:t>
      </w:r>
      <w:r>
        <w:rPr>
          <w:rFonts w:ascii="Arial" w:hAnsi="Arial" w:cs="Arial"/>
        </w:rPr>
        <w:t xml:space="preserve">pagamento constante no item </w:t>
      </w:r>
      <w:r>
        <w:rPr>
          <w:rFonts w:ascii="Arial" w:hAnsi="Arial" w:cs="Arial"/>
          <w:b/>
        </w:rPr>
        <w:t xml:space="preserve">24.4</w:t>
      </w:r>
      <w:r>
        <w:rPr>
          <w:rFonts w:ascii="Arial" w:hAnsi="Arial" w:cs="Arial"/>
          <w:b/>
        </w:rPr>
        <w:t xml:space="preserve">.</w:t>
      </w:r>
      <w:r>
        <w:rPr>
          <w:rFonts w:ascii="Arial" w:hAnsi="Arial" w:cs="Arial"/>
        </w:rPr>
        <w:t xml:space="preserve"> Fluirá a partir da respectiva regularização;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24.10</w:t>
      </w:r>
      <w:r>
        <w:rPr>
          <w:rFonts w:ascii="Arial" w:hAnsi="Arial" w:cs="Arial"/>
          <w:b/>
        </w:rPr>
        <w:t xml:space="preserve">.</w:t>
      </w:r>
      <w:r>
        <w:rPr>
          <w:rFonts w:ascii="Arial" w:hAnsi="Arial" w:cs="Arial"/>
        </w:rPr>
        <w:t xml:space="preserve"> As despesas bancárias decorrentes de transferências de valores para outras praças serão de responsabilidade da contratada;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24.11</w:t>
      </w:r>
      <w:r>
        <w:rPr>
          <w:rFonts w:ascii="Arial" w:hAnsi="Arial" w:cs="Arial"/>
          <w:b/>
        </w:rPr>
        <w:t xml:space="preserve">.</w:t>
      </w:r>
      <w:r>
        <w:rPr>
          <w:rFonts w:ascii="Arial" w:hAnsi="Arial" w:cs="Arial"/>
        </w:rPr>
        <w:t xml:space="preserve"> O pagamento efetuado não isentará a contratada de suas responsabilidades vinculadas ao fornecimento, especialmente àquel</w:t>
      </w:r>
      <w:r>
        <w:rPr>
          <w:rFonts w:ascii="Arial" w:hAnsi="Arial" w:cs="Arial"/>
        </w:rPr>
        <w:t xml:space="preserve">as relacionadas com a qualidade e garantia dos bens fornecidos;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24.12</w:t>
      </w:r>
      <w:r>
        <w:rPr>
          <w:rFonts w:ascii="Arial" w:hAnsi="Arial" w:cs="Arial"/>
          <w:b/>
        </w:rPr>
        <w:t xml:space="preserve">.</w:t>
      </w:r>
      <w:r>
        <w:rPr>
          <w:rFonts w:ascii="Arial" w:hAnsi="Arial" w:cs="Arial"/>
        </w:rPr>
        <w:t xml:space="preserve"> O pagamento a ser efetuado ficará condicionado à apresentação pela empresa dos comprobatórios de quitação das obrigações para com o INSS e FGTS, referente ao mês anterior. </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24.13</w:t>
      </w:r>
      <w:r>
        <w:rPr>
          <w:rFonts w:ascii="Arial" w:hAnsi="Arial" w:cs="Arial"/>
          <w:b/>
        </w:rPr>
        <w:t xml:space="preserve">. </w:t>
      </w:r>
      <w:r>
        <w:rPr>
          <w:rFonts w:ascii="Arial" w:hAnsi="Arial" w:cs="Arial"/>
        </w:rPr>
        <w:t xml:space="preserve">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2</w:t>
      </w:r>
      <w:r>
        <w:rPr>
          <w:rFonts w:ascii="Arial" w:hAnsi="Arial" w:cs="Arial"/>
          <w:b/>
        </w:rPr>
        <w:t xml:space="preserve">4.14</w:t>
      </w:r>
      <w:r>
        <w:rPr>
          <w:rFonts w:ascii="Arial" w:hAnsi="Arial" w:cs="Arial"/>
          <w:b/>
        </w:rPr>
        <w:t xml:space="preserve">. </w:t>
      </w:r>
      <w:r>
        <w:rPr>
          <w:rFonts w:ascii="Arial" w:hAnsi="Arial" w:cs="Arial"/>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24.15</w:t>
      </w:r>
      <w:r>
        <w:rPr>
          <w:rFonts w:ascii="Arial" w:hAnsi="Arial" w:cs="Arial"/>
          <w:b/>
        </w:rPr>
        <w:t xml:space="preserve">. </w:t>
      </w:r>
      <w:r>
        <w:rPr>
          <w:rFonts w:ascii="Arial" w:hAnsi="Arial" w:cs="Arial"/>
        </w:rPr>
        <w:t xml:space="preserve">Quando do pagamento, será efetuada a retenção tributária prevista na legislação aplicável.</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24.16</w:t>
      </w:r>
      <w:r>
        <w:rPr>
          <w:rFonts w:ascii="Arial" w:hAnsi="Arial" w:cs="Arial"/>
        </w:rPr>
        <w:t xml:space="preserve">. Após 30 (trinta) dias da data em que deveria ser efetuado o pagamento das faturas,</w:t>
      </w:r>
      <w:r>
        <w:rPr>
          <w:rFonts w:ascii="Arial" w:hAnsi="Arial" w:cs="Arial"/>
        </w:rPr>
        <w:t xml:space="preserve"> em caso de atraso imputável à Administração,</w:t>
      </w:r>
      <w:r>
        <w:rPr>
          <w:rFonts w:ascii="Arial" w:hAnsi="Arial" w:cs="Arial"/>
        </w:rPr>
        <w:t xml:space="preserve"> incidirá sobre o valor faturado atualização mone</w:t>
      </w:r>
      <w:r>
        <w:rPr>
          <w:rFonts w:ascii="Arial" w:hAnsi="Arial" w:cs="Arial"/>
        </w:rPr>
        <w:t xml:space="preserve">tária com base no Índice de Nacional de Preços ao Consumidor Amplo (IPCA) ou Índice Geral de Preços - Mercado (IGP-M), sendo que sempre será utilizado o índice de menor percentual.</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t xml:space="preserve">25. DO PRAZO DO CONTRATO E POSSIBILIDADE DE PRORROGAÇÃO (INCISO I DO DECRETO MUNICIPAL 11.685/2023):</w:t>
      </w:r>
      <w:r>
        <w:rPr>
          <w:rFonts w:ascii="Arial" w:hAnsi="Arial" w:cs="Arial"/>
          <w:b/>
        </w:rPr>
      </w:r>
    </w:p>
    <w:p>
      <w:pPr>
        <w:pStyle w:val="828"/>
        <w:widowControl w:val="false"/>
        <w:pBdr/>
        <w:spacing/>
        <w:ind/>
        <w:jc w:val="both"/>
        <w:rPr>
          <w:rFonts w:ascii="Arial" w:hAnsi="Arial" w:cs="Arial"/>
          <w:u w:val="single"/>
        </w:rPr>
      </w:pPr>
      <w:r>
        <w:rPr>
          <w:rFonts w:ascii="Arial" w:hAnsi="Arial" w:cs="Arial"/>
          <w:u w:val="single"/>
        </w:rPr>
      </w:r>
      <w:r>
        <w:rPr>
          <w:rFonts w:ascii="Arial" w:hAnsi="Arial" w:cs="Arial"/>
          <w:u w:val="single"/>
        </w:rPr>
      </w:r>
    </w:p>
    <w:p>
      <w:pPr>
        <w:pStyle w:val="828"/>
        <w:widowControl w:val="false"/>
        <w:pBdr/>
        <w:spacing/>
        <w:ind/>
        <w:jc w:val="both"/>
        <w:rPr>
          <w:rFonts w:ascii="Arial" w:hAnsi="Arial" w:cs="Arial"/>
          <w:u w:val="single"/>
        </w:rPr>
      </w:pPr>
      <w:r>
        <w:rPr>
          <w:rFonts w:ascii="Arial" w:hAnsi="Arial" w:cs="Arial"/>
          <w:b/>
          <w:u w:val="single"/>
        </w:rPr>
        <w:t xml:space="preserve">25.1.</w:t>
      </w:r>
      <w:r>
        <w:rPr>
          <w:rFonts w:ascii="Arial" w:hAnsi="Arial" w:cs="Arial"/>
          <w:u w:val="single"/>
        </w:rPr>
        <w:t xml:space="preserve"> </w:t>
      </w:r>
      <w:r>
        <w:rPr>
          <w:rFonts w:ascii="Arial" w:hAnsi="Arial" w:cs="Arial"/>
          <w:u w:val="single"/>
        </w:rPr>
        <w:t xml:space="preserve">1.4. O prazo de vigência do futuro contrato será de 12 (doze) meses, contados da sua assinatura, podendo o mesmo ser prorrogado mediante interesse ou necessidade da Administração, ou a pedido da parte, devidamente justific</w:t>
      </w:r>
      <w:r>
        <w:rPr>
          <w:rFonts w:ascii="Arial" w:hAnsi="Arial" w:cs="Arial"/>
          <w:u w:val="single"/>
        </w:rPr>
        <w:t xml:space="preserve">ada, e desde que o motivo apresentado seja aceito pela Administração.</w:t>
      </w:r>
      <w:r>
        <w:rPr>
          <w:rFonts w:ascii="Arial" w:hAnsi="Arial" w:cs="Arial"/>
          <w:u w:val="single"/>
        </w:rPr>
      </w:r>
      <w:r>
        <w:rPr>
          <w:rFonts w:ascii="Arial" w:hAnsi="Arial" w:cs="Arial"/>
          <w:u w:val="single"/>
        </w:rPr>
      </w:r>
    </w:p>
    <w:p>
      <w:pPr>
        <w:pStyle w:val="828"/>
        <w:widowControl w:val="false"/>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t xml:space="preserve">26</w:t>
      </w:r>
      <w:r>
        <w:rPr>
          <w:rFonts w:ascii="Arial" w:hAnsi="Arial" w:cs="Arial"/>
          <w:b/>
        </w:rPr>
        <w:t xml:space="preserve">. </w:t>
      </w:r>
      <w:r>
        <w:rPr>
          <w:rFonts w:ascii="Arial" w:hAnsi="Arial" w:cs="Arial"/>
          <w:b/>
        </w:rPr>
        <w:t xml:space="preserve">DA EXTINÇÃO DO CONTRATO:</w:t>
      </w:r>
      <w:r>
        <w:rPr>
          <w:rFonts w:ascii="Arial" w:hAnsi="Arial" w:cs="Arial"/>
          <w:b/>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.1.</w:t>
      </w:r>
      <w:r>
        <w:rPr>
          <w:rFonts w:ascii="Arial" w:hAnsi="Arial" w:cs="Arial"/>
          <w:color w:val="000000"/>
        </w:rPr>
        <w:t xml:space="preserve"> O contrato se extingue quando cumpridas as obrigações de ambas as partes, ainda que isso ocorra antes do prazo estipulado para tanto.</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.2.</w:t>
      </w:r>
      <w:r>
        <w:rPr>
          <w:rFonts w:ascii="Arial" w:hAnsi="Arial" w:cs="Arial"/>
          <w:color w:val="000000"/>
        </w:rPr>
        <w:t xml:space="preserve"> Se as obrigações não forem cumpridas no prazo estipulado, a vigência ficará prorrogada até a conclusão do objeto, caso em que deverá a Administração providenciar a readequação do cronograma fixado para o contrato.</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.3.</w:t>
      </w:r>
      <w:r>
        <w:rPr>
          <w:rFonts w:ascii="Arial" w:hAnsi="Arial" w:cs="Arial"/>
          <w:color w:val="000000"/>
        </w:rPr>
        <w:t xml:space="preserve"> Quando a não conclusão do contrato referida</w:t>
      </w:r>
      <w:r>
        <w:rPr>
          <w:rFonts w:ascii="Arial" w:hAnsi="Arial" w:cs="Arial"/>
          <w:color w:val="000000"/>
        </w:rPr>
        <w:t xml:space="preserve"> no item anterior decorrer de culpa da contrata</w:t>
      </w:r>
      <w:r>
        <w:rPr>
          <w:rFonts w:ascii="Arial" w:hAnsi="Arial" w:cs="Arial"/>
          <w:color w:val="000000"/>
        </w:rPr>
        <w:t xml:space="preserve">da: (a) ficará ela constituída em mora, sendo-lhe aplicáveis as respectivas sanções administrativas; e (b) poderá a Administração optar pela extinção do contrato e, nesse caso, adotará as medidas admitidas em lei para a continuidade da execução contratual.</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.4.</w:t>
      </w:r>
      <w:r>
        <w:rPr>
          <w:rFonts w:ascii="Arial" w:hAnsi="Arial" w:cs="Arial"/>
          <w:color w:val="000000"/>
        </w:rPr>
        <w:t xml:space="preserve"> O presente termo de contrato poderá ser extinto nas hipóteses previstas no rol do artigo 137 da Lei nº 14.133/2021, devendo a extinção ser formalmente motivada nos autos do processo, assegurado o contr</w:t>
      </w:r>
      <w:r>
        <w:rPr>
          <w:rFonts w:ascii="Arial" w:hAnsi="Arial" w:cs="Arial"/>
          <w:color w:val="000000"/>
        </w:rPr>
        <w:t xml:space="preserve">aditório e ampla defesa e respeitados os procedimentos descritos no Decreto Municipal nº 11.685/2023 e nas demais legislações aplicáveis.</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.4.1.</w:t>
      </w:r>
      <w:r>
        <w:rPr>
          <w:rFonts w:ascii="Arial" w:hAnsi="Arial" w:cs="Arial"/>
          <w:color w:val="000000"/>
        </w:rPr>
        <w:t xml:space="preserve"> Nesta hipótese, aplicam-se também os artigos 138 e 139 da Lei 14.133/2021.</w:t>
      </w:r>
      <w:r>
        <w:rPr>
          <w:rFonts w:ascii="Arial" w:hAnsi="Arial" w:cs="Arial"/>
          <w:color w:val="000000"/>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.4.2.</w:t>
      </w:r>
      <w:r>
        <w:rPr>
          <w:rFonts w:ascii="Arial" w:hAnsi="Arial" w:cs="Arial"/>
          <w:color w:val="000000"/>
        </w:rPr>
        <w:t xml:space="preserve"> A alteração social ou a modificação da finalidade ou da estrutura da empresa não ensejará a rescisão se não restringir sua capacidade de concluir o contrato.</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.4.4.</w:t>
      </w:r>
      <w:r>
        <w:rPr>
          <w:rFonts w:ascii="Arial" w:hAnsi="Arial" w:cs="Arial"/>
          <w:color w:val="000000"/>
        </w:rPr>
        <w:t xml:space="preserve">  Se a operação implicar mudança da pessoa jurídica contratada, deverá ser formalizado termo aditivo para alteração</w:t>
      </w:r>
      <w:r>
        <w:rPr>
          <w:rFonts w:ascii="Arial" w:hAnsi="Arial" w:cs="Arial"/>
          <w:color w:val="000000"/>
        </w:rPr>
        <w:t xml:space="preserve"> subjetiva.</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.5.</w:t>
      </w:r>
      <w:r>
        <w:rPr>
          <w:rFonts w:ascii="Arial" w:hAnsi="Arial" w:cs="Arial"/>
          <w:color w:val="000000"/>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.6.</w:t>
      </w:r>
      <w:r>
        <w:rPr>
          <w:rFonts w:ascii="Arial" w:hAnsi="Arial" w:cs="Arial"/>
          <w:color w:val="000000"/>
        </w:rPr>
        <w:t xml:space="preserve"> O contrato poderá</w:t>
      </w:r>
      <w:r>
        <w:rPr>
          <w:rFonts w:ascii="Arial" w:hAnsi="Arial" w:cs="Arial"/>
          <w:color w:val="000000"/>
        </w:rPr>
        <w:t xml:space="preserve"> ser extinto caso se constate que o contratado mantém vínculo de natureza técnica, comercial, econômica, financeira, trabalhista ou civil com dirigente do órgão ou entidade contratante ou com agente público que tenha desempenhado função na licitação ou atu</w:t>
      </w:r>
      <w:r>
        <w:rPr>
          <w:rFonts w:ascii="Arial" w:hAnsi="Arial" w:cs="Arial"/>
          <w:color w:val="000000"/>
        </w:rPr>
        <w:t xml:space="preserve">e na fiscalização ou na gestão do contrato, ou que deles seja cônjuge, companheiro ou parente em linha reta, colateral ou por afinidade, até o terceiro grau (art. 14, inciso IV, da Lei nº 14.133, de 2021).</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.7.</w:t>
      </w:r>
      <w:r>
        <w:rPr>
          <w:rFonts w:ascii="Arial" w:hAnsi="Arial" w:cs="Arial"/>
          <w:color w:val="000000"/>
        </w:rPr>
        <w:t xml:space="preserve"> A extinção do contrato não configura óbice para o reconhecimento do desequilíbrio econômico-financeiro, hipótese em que será concedida indenização por meio de termo indenizatório (Art. 131, caput, da Lei nº 14.133, de 2021).</w:t>
      </w:r>
      <w:r>
        <w:rPr>
          <w:rFonts w:ascii="Arial" w:hAnsi="Arial" w:cs="Arial"/>
          <w:color w:val="000000"/>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b/>
          <w:color w:val="000000"/>
        </w:rPr>
      </w:pPr>
      <w:r>
        <w:rPr>
          <w:rFonts w:ascii="Arial" w:hAnsi="Arial" w:cs="Arial"/>
          <w:b/>
        </w:rPr>
        <w:t xml:space="preserve">2</w:t>
      </w:r>
      <w:r>
        <w:rPr>
          <w:rFonts w:ascii="Arial" w:hAnsi="Arial" w:cs="Arial"/>
          <w:b/>
        </w:rPr>
        <w:t xml:space="preserve">7</w:t>
      </w:r>
      <w:r>
        <w:rPr>
          <w:rFonts w:ascii="Arial" w:hAnsi="Arial" w:cs="Arial"/>
          <w:b/>
        </w:rPr>
        <w:t xml:space="preserve">. </w:t>
      </w:r>
      <w:r>
        <w:rPr>
          <w:rFonts w:ascii="Arial" w:hAnsi="Arial" w:cs="Arial"/>
          <w:b/>
          <w:color w:val="000000"/>
        </w:rPr>
        <w:t xml:space="preserve">DO REAJUSTAMENTO, REPACTUAÇÃO, REVISÃO, SUPRESSÕES E ACRÉSCIMOS:</w:t>
      </w:r>
      <w:r>
        <w:rPr>
          <w:rFonts w:ascii="Arial" w:hAnsi="Arial" w:cs="Arial"/>
          <w:b/>
          <w:color w:val="000000"/>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w:t>
      </w:r>
      <w:r>
        <w:rPr>
          <w:rFonts w:ascii="Arial" w:hAnsi="Arial" w:cs="Arial"/>
          <w:b/>
        </w:rPr>
        <w:t xml:space="preserve">1 </w:t>
      </w:r>
      <w:r>
        <w:rPr>
          <w:rFonts w:ascii="Arial" w:hAnsi="Arial" w:cs="Arial"/>
          <w:b/>
        </w:rPr>
        <w:t xml:space="preserve">DO CRITÉRIO DE REAJUSTE:</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.1.</w:t>
      </w:r>
      <w:r>
        <w:rPr>
          <w:rFonts w:ascii="Arial" w:hAnsi="Arial" w:cs="Arial"/>
        </w:rPr>
        <w:t xml:space="preserve"> Os preços inicialmente contratados são fixos e irreajustáveis pelo prazo de um ano contado da data do orçamento estimado.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1003"/>
        <w:widowControl w:val="false"/>
        <w:pBdr/>
        <w:tabs>
          <w:tab w:val="left" w:leader="none" w:pos="426"/>
        </w:tabs>
        <w:spacing/>
        <w:ind/>
        <w:jc w:val="both"/>
        <w:rPr>
          <w:rFonts w:ascii="Arial" w:hAnsi="Arial" w:cs="Arial"/>
          <w:sz w:val="20"/>
          <w:szCs w:val="20"/>
        </w:rPr>
      </w:pPr>
      <w:r>
        <w:rPr>
          <w:rFonts w:ascii="Arial" w:hAnsi="Arial" w:cs="Arial"/>
          <w:b/>
          <w:bCs/>
          <w:iCs/>
          <w:spacing w:val="-1"/>
          <w:sz w:val="20"/>
          <w:szCs w:val="20"/>
          <w:lang w:eastAsia="pt-BR"/>
        </w:rPr>
        <w:t xml:space="preserve">2</w:t>
      </w:r>
      <w:r>
        <w:rPr>
          <w:rFonts w:ascii="Arial" w:hAnsi="Arial" w:cs="Arial"/>
          <w:b/>
          <w:bCs/>
          <w:iCs/>
          <w:spacing w:val="-1"/>
          <w:sz w:val="20"/>
          <w:szCs w:val="20"/>
          <w:lang w:eastAsia="pt-BR"/>
        </w:rPr>
        <w:t xml:space="preserve">7</w:t>
      </w:r>
      <w:r>
        <w:rPr>
          <w:rFonts w:ascii="Arial" w:hAnsi="Arial" w:cs="Arial"/>
          <w:b/>
          <w:bCs/>
          <w:iCs/>
          <w:spacing w:val="-1"/>
          <w:sz w:val="20"/>
          <w:szCs w:val="20"/>
          <w:lang w:eastAsia="pt-BR"/>
        </w:rPr>
        <w:t xml:space="preserve">.1</w:t>
      </w:r>
      <w:r>
        <w:rPr>
          <w:rFonts w:ascii="Arial" w:hAnsi="Arial" w:cs="Arial"/>
          <w:b/>
          <w:bCs/>
          <w:iCs/>
          <w:spacing w:val="-1"/>
          <w:sz w:val="20"/>
          <w:szCs w:val="20"/>
          <w:lang w:eastAsia="pt-BR"/>
        </w:rPr>
        <w:t xml:space="preserve">.1.1.</w:t>
      </w:r>
      <w:r>
        <w:rPr>
          <w:rFonts w:ascii="Arial" w:hAnsi="Arial" w:cs="Arial"/>
          <w:bCs/>
          <w:iCs/>
          <w:spacing w:val="-1"/>
          <w:sz w:val="20"/>
          <w:szCs w:val="20"/>
          <w:lang w:eastAsia="pt-BR"/>
        </w:rPr>
        <w:t xml:space="preserve"> </w:t>
      </w:r>
      <w:r>
        <w:rPr>
          <w:rFonts w:ascii="Arial" w:hAnsi="Arial" w:cs="Arial"/>
          <w:iCs/>
          <w:spacing w:val="-1"/>
          <w:sz w:val="20"/>
          <w:szCs w:val="20"/>
          <w:lang w:eastAsia="pt-BR"/>
        </w:rPr>
        <w:t xml:space="preserve">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w:t>
      </w:r>
      <w:r>
        <w:rPr>
          <w:rFonts w:ascii="Arial" w:hAnsi="Arial" w:cs="Arial"/>
          <w:sz w:val="20"/>
          <w:szCs w:val="20"/>
        </w:rPr>
        <w:t xml:space="preserve"> da Ata na execução da mesma.</w:t>
      </w:r>
      <w:r>
        <w:rPr>
          <w:rFonts w:ascii="Arial" w:hAnsi="Arial" w:cs="Arial"/>
          <w:sz w:val="20"/>
          <w:szCs w:val="20"/>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2.</w:t>
      </w:r>
      <w:r>
        <w:rPr>
          <w:rFonts w:ascii="Arial" w:hAnsi="Arial" w:cs="Arial"/>
        </w:rPr>
        <w:t xml:space="preserve"> </w:t>
      </w:r>
      <w:r>
        <w:rPr>
          <w:rFonts w:ascii="Arial" w:hAnsi="Arial" w:cs="Arial"/>
        </w:rPr>
        <w:t xml:space="preserve">Após o interregno de 1 (um) ano, os preços iniciais serão reajustados, mediante a aplicação, pelo contratante, do Índice de Nacional de Preços ao Consumidor Amplo (IPCA)</w:t>
      </w:r>
      <w:r>
        <w:rPr>
          <w:rFonts w:ascii="Arial" w:hAnsi="Arial" w:cs="Arial"/>
        </w:rPr>
        <w:t xml:space="preserve">,</w:t>
      </w:r>
      <w:r>
        <w:rPr>
          <w:rFonts w:ascii="Arial" w:hAnsi="Arial" w:cs="Arial"/>
        </w:rPr>
        <w:t xml:space="preserve"> </w:t>
      </w:r>
      <w:r>
        <w:rPr>
          <w:rFonts w:ascii="Arial" w:hAnsi="Arial" w:cs="Arial"/>
        </w:rPr>
        <w:t xml:space="preserve">calculado pelo IBGE (Instituto Brasileiro de Geografia e Estatística), ou outro que venha substituí-lo</w:t>
      </w:r>
      <w:r>
        <w:rPr>
          <w:rFonts w:ascii="Arial" w:hAnsi="Arial" w:cs="Arial"/>
        </w:rPr>
        <w:t xml:space="preserve">, sendo que sempre será utilizado o índice de menor percentual, exclusivamente para as obrigações iniciadas e concluídas após a ocorrência da anualidade.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3.</w:t>
      </w:r>
      <w:r>
        <w:rPr>
          <w:rFonts w:ascii="Arial" w:hAnsi="Arial" w:cs="Arial"/>
        </w:rPr>
        <w:t xml:space="preserve"> Os reajustes deverão ser precedidos </w:t>
      </w:r>
      <w:r>
        <w:rPr>
          <w:rFonts w:ascii="Arial" w:hAnsi="Arial" w:cs="Arial"/>
        </w:rPr>
        <w:t xml:space="preserve">de solicitação do contratado, acompanhada de memorial do cálculo.</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4.</w:t>
      </w:r>
      <w:r>
        <w:rPr>
          <w:rFonts w:ascii="Arial" w:hAnsi="Arial" w:cs="Arial"/>
        </w:rPr>
        <w:t xml:space="preserve"> No </w:t>
      </w:r>
      <w:r>
        <w:rPr>
          <w:rFonts w:ascii="Arial" w:hAnsi="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5.</w:t>
      </w:r>
      <w:r>
        <w:rPr>
          <w:rFonts w:ascii="Arial" w:hAnsi="Arial" w:cs="Arial"/>
        </w:rPr>
        <w:t xml:space="preserve"> Caso o(s) índice(s) estabelecido(s) para reajustamento venha(m) a ser extinto(s) ou de qualquer forma não possa(m) mais ser utilizado(s), será(ão) adotado(s), em substi</w:t>
      </w:r>
      <w:r>
        <w:rPr>
          <w:rFonts w:ascii="Arial" w:hAnsi="Arial" w:cs="Arial"/>
        </w:rPr>
        <w:t xml:space="preserve">tuição, o(s) que vier(em) a ser determinado(s) pela legislação então em vigor.</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6.</w:t>
      </w:r>
      <w:r>
        <w:rPr>
          <w:rFonts w:ascii="Arial" w:hAnsi="Arial" w:cs="Arial"/>
        </w:rPr>
        <w:t xml:space="preserve"> Na ausência de previsão legal quanto ao índice substituto, as partes elegerão novo índice oficial, para reajustamento do preço do valor remanescente, por meio de termo aditivo.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7</w:t>
      </w:r>
      <w:r>
        <w:rPr>
          <w:rFonts w:ascii="Arial" w:hAnsi="Arial" w:cs="Arial"/>
        </w:rPr>
        <w:t xml:space="preserve">. O reajuste será realizado por apostilamento.</w:t>
      </w:r>
      <w:r>
        <w:rPr>
          <w:rFonts w:ascii="Arial" w:hAnsi="Arial" w:cs="Arial"/>
        </w:rPr>
      </w:r>
    </w:p>
    <w:p>
      <w:pPr>
        <w:pStyle w:val="828"/>
        <w:pBdr/>
        <w:spacing/>
        <w:ind/>
        <w:jc w:val="both"/>
        <w:rPr>
          <w:rFonts w:ascii="Arial" w:hAnsi="Arial" w:cs="Arial"/>
          <w:highlight w:val="yellow"/>
        </w:rPr>
      </w:pPr>
      <w:r>
        <w:rPr>
          <w:rFonts w:ascii="Arial" w:hAnsi="Arial" w:cs="Arial"/>
          <w:highlight w:val="yellow"/>
        </w:rPr>
      </w:r>
      <w:r>
        <w:rPr>
          <w:rFonts w:ascii="Arial" w:hAnsi="Arial" w:cs="Arial"/>
          <w:highlight w:val="yellow"/>
        </w:rPr>
      </w:r>
    </w:p>
    <w:p>
      <w:pPr>
        <w:pStyle w:val="828"/>
        <w:pBdr/>
        <w:spacing/>
        <w:ind/>
        <w:jc w:val="both"/>
        <w:rPr>
          <w:rFonts w:ascii="Arial" w:hAnsi="Arial" w:cs="Arial"/>
          <w:b/>
          <w:color w:val="000000"/>
        </w:rPr>
      </w:pPr>
      <w:r>
        <w:rPr>
          <w:rFonts w:ascii="Arial" w:hAnsi="Arial" w:cs="Arial"/>
          <w:b/>
        </w:rPr>
        <w:t xml:space="preserve">2</w:t>
      </w:r>
      <w:r>
        <w:rPr>
          <w:rFonts w:ascii="Arial" w:hAnsi="Arial" w:cs="Arial"/>
          <w:b/>
        </w:rPr>
        <w:t xml:space="preserve">7</w:t>
      </w:r>
      <w:r>
        <w:rPr>
          <w:rFonts w:ascii="Arial" w:hAnsi="Arial" w:cs="Arial"/>
          <w:b/>
        </w:rPr>
        <w:t xml:space="preserve">.2. </w:t>
      </w:r>
      <w:r>
        <w:rPr>
          <w:rFonts w:ascii="Arial" w:hAnsi="Arial" w:cs="Arial"/>
          <w:b/>
          <w:color w:val="000000"/>
        </w:rPr>
        <w:t xml:space="preserve">DA REVISÃO:</w:t>
      </w:r>
      <w:r>
        <w:rPr>
          <w:rFonts w:ascii="Arial" w:hAnsi="Arial" w:cs="Arial"/>
          <w:b/>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w:t>
      </w:r>
      <w:r>
        <w:rPr>
          <w:rFonts w:ascii="Arial" w:hAnsi="Arial" w:cs="Arial"/>
          <w:b/>
          <w:color w:val="000000"/>
        </w:rPr>
        <w:t xml:space="preserve">.2.1.</w:t>
      </w:r>
      <w:r>
        <w:rPr>
          <w:rFonts w:ascii="Arial" w:hAnsi="Arial" w:cs="Arial"/>
          <w:color w:val="000000"/>
        </w:rPr>
        <w:t xml:space="preserve"> </w:t>
      </w:r>
      <w:r>
        <w:rPr>
          <w:rFonts w:ascii="Arial" w:hAnsi="Arial" w:cs="Arial"/>
          <w:color w:val="000000"/>
        </w:rPr>
        <w:t xml:space="preserve">O contrato poderá ser alterado na forma do artigo 124 e seguintes da Lei nº 14.133/2021 e Decreto Municipal nº 11.685/2023.</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27.2.2.</w:t>
      </w:r>
      <w:r>
        <w:rPr>
          <w:rFonts w:ascii="Arial" w:hAnsi="Arial" w:cs="Arial"/>
          <w:color w:val="000000"/>
        </w:rPr>
        <w:t xml:space="preserve"> A contratada é obrigada a aceita</w:t>
      </w:r>
      <w:r>
        <w:rPr>
          <w:rFonts w:ascii="Arial" w:hAnsi="Arial" w:cs="Arial"/>
          <w:color w:val="000000"/>
        </w:rPr>
        <w:t xml:space="preserve">r, nas mesmas condições contratuais, os acréscimos ou supressões que se fizerem necessários, até o limite de 25% (vinte e cinco por cento) do valor inicial atualizado do contrato.</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27.2.3.</w:t>
      </w:r>
      <w:r>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27.2.4.</w:t>
      </w:r>
      <w:r>
        <w:rPr>
          <w:rFonts w:ascii="Arial" w:hAnsi="Arial" w:cs="Arial"/>
          <w:color w:val="000000"/>
        </w:rPr>
        <w:t xml:space="preserve"> Durante a vigência do contrato a contratada poderá solicitar a revisão dos preços para manter o equilíbrio econômico-financeir</w:t>
      </w:r>
      <w:r>
        <w:rPr>
          <w:rFonts w:ascii="Arial" w:hAnsi="Arial" w:cs="Arial"/>
          <w:color w:val="000000"/>
        </w:rPr>
        <w:t xml:space="preserve">o obtido na licitação, mediante a comprovação dos fatos previstos no artigo 124, inciso II, alínea “d”, da Lei nº 14.133/2021, conforme cláusula décima primeira</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27.2.5.</w:t>
      </w:r>
      <w:r>
        <w:rPr>
          <w:rFonts w:ascii="Arial" w:hAnsi="Arial" w:cs="Arial"/>
          <w:color w:val="000000"/>
        </w:rPr>
        <w:t xml:space="preserve"> </w:t>
      </w:r>
      <w:r>
        <w:rPr>
          <w:rFonts w:ascii="Arial" w:hAnsi="Arial" w:cs="Arial"/>
          <w:color w:val="000000"/>
        </w:rPr>
        <w:t xml:space="preserve">Os preços registrados poderão ser revisad</w:t>
      </w:r>
      <w:r>
        <w:rPr>
          <w:rFonts w:ascii="Arial" w:hAnsi="Arial" w:cs="Arial"/>
          <w:color w:val="000000"/>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7.2.6</w:t>
      </w:r>
      <w:r>
        <w:rPr>
          <w:rFonts w:ascii="Arial" w:hAnsi="Arial" w:cs="Arial"/>
          <w:b/>
          <w:color w:val="000000"/>
        </w:rPr>
        <w:t xml:space="preserve">.</w:t>
      </w:r>
      <w:r>
        <w:rPr>
          <w:rFonts w:ascii="Arial" w:hAnsi="Arial" w:cs="Arial"/>
          <w:color w:val="000000"/>
        </w:rPr>
        <w:t xml:space="preserve"> Os fornecedores que não aceitarem r</w:t>
      </w:r>
      <w:r>
        <w:rPr>
          <w:rFonts w:ascii="Arial" w:hAnsi="Arial" w:cs="Arial"/>
          <w:color w:val="000000"/>
        </w:rPr>
        <w:t xml:space="preserve">eduzir seus preços aos valores praticados pelo mercado serão liberados do compromisso assumido, sem aplicação de penalidade. </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7.2.7</w:t>
      </w:r>
      <w:r>
        <w:rPr>
          <w:rFonts w:ascii="Arial" w:hAnsi="Arial" w:cs="Arial"/>
          <w:b/>
          <w:color w:val="000000"/>
        </w:rPr>
        <w:t xml:space="preserve">.</w:t>
      </w:r>
      <w:r>
        <w:rPr>
          <w:rFonts w:ascii="Arial" w:hAnsi="Arial" w:cs="Arial"/>
          <w:color w:val="000000"/>
        </w:rPr>
        <w:t xml:space="preserve"> O pedido de revisão de preços será processado e julgado pelo Órgão Gerenciador. </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7.2.8</w:t>
      </w:r>
      <w:r>
        <w:rPr>
          <w:rFonts w:ascii="Arial" w:hAnsi="Arial" w:cs="Arial"/>
          <w:b/>
          <w:color w:val="000000"/>
        </w:rPr>
        <w:t xml:space="preserve">. </w:t>
      </w:r>
      <w:r>
        <w:rPr>
          <w:rFonts w:ascii="Arial" w:hAnsi="Arial" w:cs="Arial"/>
          <w:color w:val="000000"/>
        </w:rPr>
        <w:t xml:space="preserve">Nos casos em que a majoração do</w:t>
      </w:r>
      <w:r>
        <w:rPr>
          <w:rFonts w:ascii="Arial" w:hAnsi="Arial" w:cs="Arial"/>
          <w:color w:val="000000"/>
        </w:rPr>
        <w:t xml:space="preserve"> preço for pleiteada pela DETENTORA, o ÓRGÃO GERENCIADOR analisará a solicitação de revisão do preço registrado a partir da fundamentação e do conjunto probatório apresentados, em cotejo com pesquisa de mercado atualizada e diligências que se mostrem neces</w:t>
      </w:r>
      <w:r>
        <w:rPr>
          <w:rFonts w:ascii="Arial" w:hAnsi="Arial" w:cs="Arial"/>
          <w:color w:val="000000"/>
        </w:rPr>
        <w:t xml:space="preserve">sárias para avaliação do pedido, mantendo a economia obtida no procedimento licitatório.</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7.2.9</w:t>
      </w:r>
      <w:r>
        <w:rPr>
          <w:rFonts w:ascii="Arial" w:hAnsi="Arial" w:cs="Arial"/>
          <w:b/>
          <w:color w:val="000000"/>
        </w:rPr>
        <w:t xml:space="preserve">.</w:t>
      </w:r>
      <w:r>
        <w:rPr>
          <w:rFonts w:ascii="Arial" w:hAnsi="Arial" w:cs="Arial"/>
          <w:color w:val="000000"/>
        </w:rPr>
        <w:t xml:space="preserve"> </w:t>
      </w:r>
      <w:r>
        <w:rPr>
          <w:rFonts w:ascii="Arial" w:hAnsi="Arial" w:cs="Arial"/>
          <w:color w:val="000000"/>
          <w:u w:val="single"/>
        </w:rPr>
        <w:t xml:space="preserve">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7.2.10</w:t>
      </w:r>
      <w:r>
        <w:rPr>
          <w:rFonts w:ascii="Arial" w:hAnsi="Arial" w:cs="Arial"/>
          <w:b/>
          <w:color w:val="000000"/>
        </w:rPr>
        <w:t xml:space="preserve">.</w:t>
      </w:r>
      <w:r>
        <w:rPr>
          <w:rFonts w:ascii="Arial" w:hAnsi="Arial" w:cs="Arial"/>
          <w:color w:val="000000"/>
        </w:rPr>
        <w:t xml:space="preserve"> Durante este prazo de 30 dias, a DETENTORA fica obrigado a manter as condições pactuadas quando da assinatura da ata.</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7.2.11</w:t>
      </w:r>
      <w:r>
        <w:rPr>
          <w:rFonts w:ascii="Arial" w:hAnsi="Arial" w:cs="Arial"/>
          <w:b/>
          <w:color w:val="000000"/>
        </w:rPr>
        <w:t xml:space="preserve">.</w:t>
      </w:r>
      <w:r>
        <w:rPr>
          <w:rFonts w:ascii="Arial" w:hAnsi="Arial" w:cs="Arial"/>
          <w:color w:val="000000"/>
        </w:rPr>
        <w:t xml:space="preserve"> Ocorrendo umas das h</w:t>
      </w:r>
      <w:r>
        <w:rPr>
          <w:rFonts w:ascii="Arial" w:hAnsi="Arial" w:cs="Arial"/>
          <w:color w:val="000000"/>
        </w:rPr>
        <w:t xml:space="preserve">ipóteses previstas na alínea “d” do inciso II do artigo 124 da Lei n. 14</w:t>
      </w:r>
      <w:r>
        <w:rPr>
          <w:rFonts w:ascii="Arial" w:hAnsi="Arial" w:cs="Arial"/>
          <w:color w:val="00000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cs="Arial"/>
          <w:color w:val="000000"/>
        </w:rPr>
      </w:r>
    </w:p>
    <w:p>
      <w:pPr>
        <w:pStyle w:val="828"/>
        <w:pBdr/>
        <w:spacing/>
        <w:ind w:left="284"/>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left="284"/>
        <w:jc w:val="both"/>
        <w:rPr>
          <w:rFonts w:ascii="Arial" w:hAnsi="Arial" w:cs="Arial"/>
          <w:color w:val="000000"/>
          <w:u w:val="single"/>
        </w:rPr>
      </w:pPr>
      <w:r>
        <w:rPr>
          <w:rFonts w:ascii="Arial" w:hAnsi="Arial" w:cs="Arial"/>
          <w:b/>
          <w:color w:val="000000"/>
          <w:u w:val="single"/>
        </w:rPr>
        <w:t xml:space="preserve">2</w:t>
      </w:r>
      <w:r>
        <w:rPr>
          <w:rFonts w:ascii="Arial" w:hAnsi="Arial" w:cs="Arial"/>
          <w:b/>
          <w:color w:val="000000"/>
          <w:u w:val="single"/>
        </w:rPr>
        <w:t xml:space="preserve">7.2</w:t>
      </w:r>
      <w:r>
        <w:rPr>
          <w:rFonts w:ascii="Arial" w:hAnsi="Arial" w:cs="Arial"/>
          <w:b/>
          <w:color w:val="000000"/>
          <w:u w:val="single"/>
        </w:rPr>
        <w:t xml:space="preserve">.</w:t>
      </w:r>
      <w:r>
        <w:rPr>
          <w:rFonts w:ascii="Arial" w:hAnsi="Arial" w:cs="Arial"/>
          <w:b/>
          <w:color w:val="000000"/>
          <w:u w:val="single"/>
        </w:rPr>
        <w:t xml:space="preserve">11.</w:t>
      </w:r>
      <w:r>
        <w:rPr>
          <w:rFonts w:ascii="Arial" w:hAnsi="Arial" w:cs="Arial"/>
          <w:b/>
          <w:color w:val="000000"/>
          <w:u w:val="single"/>
        </w:rPr>
        <w:t xml:space="preserve">1.</w:t>
      </w:r>
      <w:r>
        <w:rPr>
          <w:rFonts w:ascii="Arial" w:hAnsi="Arial" w:cs="Arial"/>
          <w:color w:val="000000"/>
          <w:u w:val="single"/>
        </w:rPr>
        <w:t xml:space="preserve"> O prazo para resposta ao pedido de repactuação de preços, quando for o caso, será de até 30 (trinta) úteis dias prorrogáveis por igual período. (Art. 92 Inciso X da Lei 14</w:t>
      </w:r>
      <w:r>
        <w:rPr>
          <w:rFonts w:ascii="Arial" w:hAnsi="Arial" w:cs="Arial"/>
          <w:color w:val="000000"/>
          <w:u w:val="single"/>
        </w:rPr>
        <w:t xml:space="preserve">.133/2021).</w:t>
      </w:r>
      <w:r>
        <w:rPr>
          <w:rFonts w:ascii="Arial" w:hAnsi="Arial" w:cs="Arial"/>
          <w:color w:val="000000"/>
          <w:u w:val="single"/>
        </w:rPr>
      </w:r>
    </w:p>
    <w:p>
      <w:pPr>
        <w:pStyle w:val="828"/>
        <w:pBdr/>
        <w:spacing/>
        <w:ind w:left="284"/>
        <w:jc w:val="both"/>
        <w:rPr>
          <w:rFonts w:ascii="Arial" w:hAnsi="Arial" w:cs="Arial"/>
          <w:color w:val="000000"/>
          <w:u w:val="single"/>
        </w:rPr>
      </w:pPr>
      <w:r>
        <w:rPr>
          <w:rFonts w:ascii="Arial" w:hAnsi="Arial" w:cs="Arial"/>
          <w:color w:val="000000"/>
          <w:u w:val="single"/>
        </w:rPr>
      </w:r>
      <w:r>
        <w:rPr>
          <w:rFonts w:ascii="Arial" w:hAnsi="Arial" w:cs="Arial"/>
          <w:color w:val="000000"/>
          <w:u w:val="single"/>
        </w:rPr>
      </w:r>
    </w:p>
    <w:p>
      <w:pPr>
        <w:pStyle w:val="828"/>
        <w:pBdr/>
        <w:spacing/>
        <w:ind w:left="284"/>
        <w:jc w:val="both"/>
        <w:rPr>
          <w:rFonts w:ascii="Arial" w:hAnsi="Arial" w:cs="Arial"/>
          <w:color w:val="000000"/>
          <w:u w:val="single"/>
        </w:rPr>
      </w:pPr>
      <w:r>
        <w:rPr>
          <w:rFonts w:ascii="Arial" w:hAnsi="Arial" w:cs="Arial"/>
          <w:b/>
          <w:color w:val="000000"/>
          <w:u w:val="single"/>
        </w:rPr>
        <w:t xml:space="preserve">2</w:t>
      </w:r>
      <w:r>
        <w:rPr>
          <w:rFonts w:ascii="Arial" w:hAnsi="Arial" w:cs="Arial"/>
          <w:b/>
          <w:color w:val="000000"/>
          <w:u w:val="single"/>
        </w:rPr>
        <w:t xml:space="preserve">7.2.11</w:t>
      </w:r>
      <w:r>
        <w:rPr>
          <w:rFonts w:ascii="Arial" w:hAnsi="Arial" w:cs="Arial"/>
          <w:b/>
          <w:color w:val="000000"/>
          <w:u w:val="single"/>
        </w:rPr>
        <w:t xml:space="preserve">.2.</w:t>
      </w:r>
      <w:r>
        <w:rPr>
          <w:rFonts w:ascii="Arial" w:hAnsi="Arial" w:cs="Arial"/>
          <w:color w:val="000000"/>
          <w:u w:val="single"/>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cs="Arial"/>
          <w:color w:val="000000"/>
          <w:u w:val="single"/>
        </w:rPr>
      </w:r>
    </w:p>
    <w:p>
      <w:pPr>
        <w:pStyle w:val="828"/>
        <w:pBdr/>
        <w:spacing/>
        <w:ind/>
        <w:jc w:val="both"/>
        <w:rPr>
          <w:rFonts w:ascii="Arial" w:hAnsi="Arial" w:cs="Arial"/>
        </w:rPr>
      </w:pPr>
      <w:r>
        <w:rPr>
          <w:rFonts w:ascii="Arial" w:hAnsi="Arial" w:cs="Arial"/>
        </w:rPr>
      </w:r>
      <w:r>
        <w:rPr>
          <w:rFonts w:ascii="Arial" w:hAnsi="Arial" w:cs="Arial"/>
        </w:rPr>
      </w:r>
    </w:p>
    <w:p>
      <w:pPr>
        <w:pStyle w:val="829"/>
        <w:pBdr/>
        <w:spacing w:after="0" w:before="0"/>
        <w:ind/>
        <w:rPr>
          <w:rFonts w:eastAsia="SimSun"/>
          <w:sz w:val="20"/>
          <w:szCs w:val="20"/>
          <w:lang w:val="pt-BR"/>
        </w:rPr>
      </w:pPr>
      <w:r/>
      <w:bookmarkStart w:id="28" w:name="__RefHeading___Toc190782031"/>
      <w:r/>
      <w:bookmarkEnd w:id="28"/>
      <w:r>
        <w:rPr>
          <w:rFonts w:eastAsia="SimSun"/>
          <w:sz w:val="20"/>
          <w:szCs w:val="20"/>
          <w:lang w:val="pt-BR"/>
        </w:rPr>
        <w:t xml:space="preserve">2</w:t>
      </w:r>
      <w:r>
        <w:rPr>
          <w:rFonts w:eastAsia="SimSun"/>
          <w:sz w:val="20"/>
          <w:szCs w:val="20"/>
          <w:lang w:val="pt-BR"/>
        </w:rPr>
        <w:t xml:space="preserve">8</w:t>
      </w:r>
      <w:r>
        <w:rPr>
          <w:rFonts w:eastAsia="SimSun"/>
          <w:sz w:val="20"/>
          <w:szCs w:val="20"/>
          <w:lang w:val="pt-BR"/>
        </w:rPr>
        <w:t xml:space="preserve">. </w:t>
      </w:r>
      <w:r>
        <w:rPr>
          <w:rFonts w:eastAsia="SimSun"/>
          <w:sz w:val="20"/>
          <w:szCs w:val="20"/>
          <w:lang w:val="pt-BR"/>
        </w:rPr>
        <w:t xml:space="preserve">DA GARANTIA </w:t>
      </w:r>
      <w:r>
        <w:rPr>
          <w:rFonts w:eastAsia="SimSun"/>
          <w:sz w:val="20"/>
          <w:szCs w:val="20"/>
          <w:lang w:val="pt-BR"/>
        </w:rPr>
        <w:t xml:space="preserve">DO OBJETO: </w:t>
      </w:r>
      <w:r>
        <w:rPr>
          <w:rFonts w:eastAsia="SimSun"/>
          <w:sz w:val="20"/>
          <w:szCs w:val="20"/>
          <w:lang w:val="pt-BR"/>
        </w:rPr>
      </w:r>
      <w:r>
        <w:rPr>
          <w:rFonts w:eastAsia="SimSun"/>
          <w:sz w:val="20"/>
          <w:szCs w:val="20"/>
          <w:lang w:val="pt-BR"/>
        </w:rPr>
      </w:r>
    </w:p>
    <w:p>
      <w:pPr>
        <w:pStyle w:val="984"/>
        <w:pBdr/>
        <w:spacing/>
        <w:ind/>
        <w:jc w:val="both"/>
        <w:rPr>
          <w:rFonts w:ascii="Arial" w:hAnsi="Arial" w:cs="Arial"/>
          <w:sz w:val="20"/>
          <w:szCs w:val="20"/>
        </w:rPr>
      </w:pPr>
      <w:r>
        <w:rPr>
          <w:rFonts w:ascii="Arial" w:hAnsi="Arial" w:cs="Arial"/>
          <w:b/>
          <w:sz w:val="20"/>
          <w:szCs w:val="20"/>
        </w:rPr>
        <w:t xml:space="preserve">28.1</w:t>
      </w:r>
      <w:r>
        <w:rPr>
          <w:rFonts w:ascii="Arial" w:hAnsi="Arial" w:cs="Arial"/>
          <w:sz w:val="20"/>
          <w:szCs w:val="20"/>
        </w:rPr>
        <w:t xml:space="preserve"> Os itens fornecidos deverão atender aos padrões de qualidade, durabilidade, segurança e adequação ao uso a que se destinam, aplicando-se, no que couber, as disposições da Lei nº 8.078/1990 (Código de Defesa do Consumidor), especialmente no </w:t>
      </w:r>
      <w:r>
        <w:rPr>
          <w:rFonts w:ascii="Arial" w:hAnsi="Arial" w:cs="Arial"/>
          <w:sz w:val="20"/>
          <w:szCs w:val="20"/>
        </w:rPr>
        <w:t xml:space="preserve">que se refere à garantia legal contra vícios e defeitos.</w:t>
      </w:r>
      <w:r>
        <w:rPr>
          <w:rFonts w:ascii="Arial" w:hAnsi="Arial" w:cs="Arial"/>
          <w:sz w:val="20"/>
          <w:szCs w:val="20"/>
        </w:rPr>
      </w:r>
    </w:p>
    <w:p>
      <w:pPr>
        <w:pStyle w:val="984"/>
        <w:pBdr/>
        <w:spacing/>
        <w:ind/>
        <w:jc w:val="both"/>
        <w:rPr>
          <w:rFonts w:ascii="Arial" w:hAnsi="Arial" w:cs="Arial"/>
          <w:b/>
          <w:sz w:val="20"/>
          <w:szCs w:val="20"/>
        </w:rPr>
      </w:pPr>
      <w:r>
        <w:rPr>
          <w:rFonts w:ascii="Arial" w:hAnsi="Arial" w:cs="Arial"/>
          <w:b/>
          <w:sz w:val="20"/>
          <w:szCs w:val="20"/>
        </w:rPr>
        <w:t xml:space="preserve">28.2</w:t>
      </w:r>
      <w:r>
        <w:rPr>
          <w:rFonts w:ascii="Arial" w:hAnsi="Arial" w:cs="Arial"/>
          <w:sz w:val="20"/>
          <w:szCs w:val="20"/>
        </w:rPr>
        <w:t xml:space="preserve">. Constatado vício, defeito ou desconformidade nos produtos fornecidos, a futura contratada </w:t>
      </w:r>
      <w:r>
        <w:rPr>
          <w:rFonts w:ascii="Arial" w:hAnsi="Arial" w:cs="Arial"/>
          <w:sz w:val="20"/>
          <w:szCs w:val="20"/>
        </w:rPr>
        <w:t xml:space="preserve">ficará obrigada a promover, sem ônus para a Administração, a substituição ou correção do item no prazo máximo de até 10 (dez) dias corridos, contados do recebimento da notificação expedida pela Administração, sem prejuízo da aplicação das sanções cabíveis.</w:t>
      </w:r>
      <w:r>
        <w:rPr>
          <w:rFonts w:ascii="Arial" w:hAnsi="Arial" w:cs="Arial"/>
          <w:b/>
          <w:sz w:val="20"/>
          <w:szCs w:val="20"/>
        </w:rPr>
      </w:r>
      <w:r>
        <w:rPr>
          <w:rFonts w:ascii="Arial" w:hAnsi="Arial" w:cs="Arial"/>
          <w:b/>
          <w:sz w:val="20"/>
          <w:szCs w:val="20"/>
        </w:rPr>
      </w:r>
    </w:p>
    <w:p>
      <w:pPr>
        <w:pStyle w:val="828"/>
        <w:pBdr/>
        <w:spacing w:after="100" w:afterAutospacing="1" w:before="100" w:beforeAutospacing="1"/>
        <w:ind/>
        <w:jc w:val="both"/>
        <w:rPr>
          <w:rFonts w:ascii="Arial" w:hAnsi="Arial" w:cs="Arial"/>
          <w:b/>
          <w:bCs/>
        </w:rPr>
      </w:pPr>
      <w:r>
        <w:rPr>
          <w:rFonts w:ascii="Arial" w:hAnsi="Arial" w:cs="Arial"/>
          <w:b/>
          <w:bCs/>
        </w:rPr>
        <w:t xml:space="preserve">29. DA GARANTIA DA EXECUÇÃO</w:t>
      </w:r>
      <w:r>
        <w:rPr>
          <w:rFonts w:ascii="Arial" w:hAnsi="Arial" w:cs="Arial"/>
          <w:b/>
          <w:bCs/>
        </w:rPr>
        <w:t xml:space="preserve"> </w:t>
      </w:r>
      <w:r>
        <w:rPr>
          <w:rFonts w:ascii="Arial" w:hAnsi="Arial" w:cs="Arial"/>
        </w:rPr>
        <w:t xml:space="preserve">CONTRATUAL</w:t>
      </w:r>
      <w:r>
        <w:rPr>
          <w:rFonts w:ascii="Arial" w:hAnsi="Arial" w:cs="Arial"/>
        </w:rPr>
        <w:t xml:space="preserve">:</w:t>
      </w:r>
      <w:r>
        <w:rPr>
          <w:rFonts w:ascii="Arial" w:hAnsi="Arial" w:cs="Arial"/>
          <w:b/>
          <w:bCs/>
        </w:rPr>
      </w:r>
      <w:r>
        <w:rPr>
          <w:rFonts w:ascii="Arial" w:hAnsi="Arial" w:cs="Arial"/>
          <w:b/>
          <w:bCs/>
        </w:rPr>
      </w:r>
    </w:p>
    <w:p>
      <w:pPr>
        <w:pStyle w:val="984"/>
        <w:pBdr/>
        <w:spacing/>
        <w:ind/>
        <w:jc w:val="both"/>
        <w:rPr>
          <w:rFonts w:ascii="Arial" w:hAnsi="Arial" w:cs="Arial"/>
          <w:sz w:val="20"/>
          <w:szCs w:val="20"/>
          <w:lang w:eastAsia="pt-BR"/>
        </w:rPr>
      </w:pPr>
      <w:r>
        <w:rPr>
          <w:rStyle w:val="902"/>
          <w:rFonts w:ascii="Arial" w:hAnsi="Arial" w:cs="Arial"/>
          <w:sz w:val="20"/>
          <w:szCs w:val="20"/>
        </w:rPr>
        <w:t xml:space="preserve">29.1.</w:t>
      </w:r>
      <w:r>
        <w:rPr>
          <w:rFonts w:ascii="Arial" w:hAnsi="Arial" w:cs="Arial"/>
          <w:sz w:val="20"/>
          <w:szCs w:val="20"/>
          <w:lang w:eastAsia="pt-BR"/>
        </w:rPr>
        <w:t xml:space="preserve"> </w:t>
      </w:r>
      <w:r>
        <w:rPr>
          <w:sz w:val="20"/>
          <w:szCs w:val="20"/>
          <w:lang w:eastAsia="pt-BR"/>
        </w:rPr>
        <w:t xml:space="preserve"> </w:t>
      </w:r>
      <w:r>
        <w:rPr>
          <w:rFonts w:ascii="Arial" w:hAnsi="Arial" w:cs="Arial"/>
          <w:sz w:val="20"/>
          <w:szCs w:val="20"/>
          <w:lang w:eastAsia="pt-BR"/>
        </w:rPr>
        <w:t xml:space="preserve">Para a presente licitação, não será exigida garantia de</w:t>
      </w:r>
      <w:r>
        <w:rPr>
          <w:rFonts w:ascii="Arial" w:hAnsi="Arial" w:cs="Arial"/>
          <w:sz w:val="20"/>
          <w:szCs w:val="20"/>
          <w:lang w:eastAsia="pt-BR"/>
        </w:rPr>
        <w:t xml:space="preserve"> execução contratual, nos termos do art. </w:t>
      </w:r>
      <w:r>
        <w:rPr>
          <w:rFonts w:ascii="Arial" w:hAnsi="Arial" w:cs="Arial"/>
          <w:sz w:val="20"/>
          <w:szCs w:val="20"/>
          <w:lang w:eastAsia="pt-BR"/>
        </w:rPr>
        <w:t xml:space="preserve">96 da Lei nº 14.133/2021, considerando que o objeto consiste no fornecimento de bens comuns, de baixa complexidade, com entrega imediata e sem riscos relevantes de inadimplemento que justifiquem a exigência de garantia para assegurar a execução contratual.</w:t>
      </w:r>
      <w:r>
        <w:rPr>
          <w:rFonts w:ascii="Arial" w:hAnsi="Arial" w:cs="Arial"/>
          <w:sz w:val="20"/>
          <w:szCs w:val="20"/>
          <w:lang w:eastAsia="pt-BR"/>
        </w:rPr>
      </w:r>
    </w:p>
    <w:p>
      <w:pPr>
        <w:pStyle w:val="828"/>
        <w:pBdr/>
        <w:spacing w:after="100" w:afterAutospacing="1" w:before="100" w:beforeAutospacing="1"/>
        <w:ind/>
        <w:jc w:val="both"/>
        <w:rPr>
          <w:rFonts w:ascii="Arial" w:hAnsi="Arial" w:cs="Arial"/>
          <w:lang w:eastAsia="pt-BR"/>
        </w:rPr>
      </w:pPr>
      <w:r>
        <w:rPr>
          <w:rFonts w:ascii="Arial" w:hAnsi="Arial" w:cs="Arial"/>
          <w:b/>
          <w:lang w:eastAsia="pt-BR"/>
        </w:rPr>
        <w:t xml:space="preserve">29.2</w:t>
      </w:r>
      <w:r>
        <w:rPr>
          <w:rFonts w:ascii="Arial" w:hAnsi="Arial" w:cs="Arial"/>
          <w:lang w:eastAsia="pt-BR"/>
        </w:rPr>
        <w:t xml:space="preserve">. A não exigência de garantia de execução contratual não afasta a responsabilidade da futura contratada pelo fiel cumprimento das obrigações assumidas, nem prejudica a aplicação das penalidades previstas neste </w:t>
      </w:r>
      <w:r>
        <w:rPr>
          <w:rFonts w:ascii="Arial" w:hAnsi="Arial" w:cs="Arial"/>
          <w:lang w:eastAsia="pt-BR"/>
        </w:rPr>
        <w:t xml:space="preserve">Edital, no Termo de Referência, no instrumento contratual e na legislação vigente.</w:t>
      </w:r>
      <w:r>
        <w:rPr>
          <w:rFonts w:ascii="Arial" w:hAnsi="Arial" w:cs="Arial"/>
          <w:lang w:eastAsia="pt-BR"/>
        </w:rPr>
      </w:r>
    </w:p>
    <w:p>
      <w:pPr>
        <w:pStyle w:val="828"/>
        <w:pBdr/>
        <w:spacing/>
        <w:ind/>
        <w:jc w:val="both"/>
        <w:rPr>
          <w:rFonts w:ascii="Arial" w:hAnsi="Arial" w:cs="Arial"/>
          <w:b/>
        </w:rPr>
      </w:pPr>
      <w:r>
        <w:rPr>
          <w:rFonts w:ascii="Arial" w:hAnsi="Arial" w:cs="Arial"/>
          <w:b/>
        </w:rPr>
        <w:t xml:space="preserve">3</w:t>
      </w:r>
      <w:r>
        <w:rPr>
          <w:rFonts w:ascii="Arial" w:hAnsi="Arial" w:cs="Arial"/>
          <w:b/>
        </w:rPr>
        <w:t xml:space="preserve">0</w:t>
      </w:r>
      <w:r>
        <w:rPr>
          <w:rFonts w:ascii="Arial" w:hAnsi="Arial" w:cs="Arial"/>
          <w:b/>
        </w:rPr>
        <w:t xml:space="preserve">. </w:t>
      </w:r>
      <w:r>
        <w:rPr>
          <w:rFonts w:ascii="Arial" w:hAnsi="Arial" w:cs="Arial"/>
          <w:b/>
        </w:rPr>
        <w:t xml:space="preserve">DA IMPUGNAÇÃO AO EDITAL E DO PEDIDO DE ESCLARECIMENTO:</w:t>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color w:val="000000"/>
        </w:rPr>
        <w:t xml:space="preserve">3</w:t>
      </w:r>
      <w:r>
        <w:rPr>
          <w:rFonts w:ascii="Arial" w:hAnsi="Arial" w:cs="Arial"/>
          <w:b/>
          <w:color w:val="000000"/>
        </w:rPr>
        <w:t xml:space="preserve">0</w:t>
      </w:r>
      <w:r>
        <w:rPr>
          <w:rFonts w:ascii="Arial" w:hAnsi="Arial" w:cs="Arial"/>
          <w:b/>
          <w:color w:val="000000"/>
        </w:rPr>
        <w:t xml:space="preserve">.1.</w:t>
      </w:r>
      <w:r>
        <w:rPr>
          <w:rFonts w:ascii="Arial" w:hAnsi="Arial" w:cs="Arial"/>
          <w:color w:val="000000"/>
        </w:rPr>
        <w:t xml:space="preserve"> </w:t>
      </w:r>
      <w:r>
        <w:rPr>
          <w:rFonts w:ascii="Arial" w:hAnsi="Arial" w:cs="Arial"/>
        </w:rPr>
        <w:t xml:space="preserve">Qualquer pessoa é parte legítima para impugnar edital de licitação por irregularidade na aplicação da Lei ou para solicitar esclarecimento sobre os seus termos, devendo protocolar o pedido </w:t>
      </w:r>
      <w:r>
        <w:rPr>
          <w:rFonts w:ascii="Arial" w:hAnsi="Arial" w:cs="Arial"/>
          <w:color w:val="000000"/>
        </w:rPr>
        <w:t xml:space="preserve">exclusivamente na plataforma eletrônica </w:t>
      </w:r>
      <w:r>
        <w:rPr>
          <w:rFonts w:ascii="Arial" w:hAnsi="Arial" w:cs="Arial"/>
        </w:rPr>
        <w:fldChar w:fldCharType="begin"/>
      </w:r>
      <w:r>
        <w:rPr>
          <w:rFonts w:ascii="Arial" w:hAnsi="Arial" w:cs="Arial"/>
        </w:rPr>
        <w:instrText xml:space="preserve"> HYPERLINK "mailto:bllcompras.com"</w:instrText>
      </w:r>
      <w:r>
        <w:rPr>
          <w:rFonts w:ascii="Arial" w:hAnsi="Arial" w:cs="Arial"/>
        </w:rPr>
        <w:fldChar w:fldCharType="separate"/>
      </w:r>
      <w:r>
        <w:rPr>
          <w:rStyle w:val="900"/>
          <w:rFonts w:ascii="Arial" w:hAnsi="Arial" w:cs="Arial"/>
          <w:b/>
          <w:color w:val="000000"/>
          <w:u w:val="none"/>
        </w:rPr>
        <w:t xml:space="preserve">bllcompras.com</w:t>
      </w:r>
      <w:r>
        <w:rPr>
          <w:rFonts w:ascii="Arial" w:hAnsi="Arial" w:cs="Arial"/>
        </w:rPr>
        <w:fldChar w:fldCharType="end"/>
      </w:r>
      <w:r>
        <w:rPr>
          <w:rFonts w:ascii="Arial" w:hAnsi="Arial" w:cs="Arial"/>
          <w:b/>
          <w:color w:val="000000"/>
        </w:rPr>
        <w:t xml:space="preserve"> </w:t>
      </w:r>
      <w:r>
        <w:rPr>
          <w:rFonts w:ascii="Arial" w:hAnsi="Arial" w:cs="Arial"/>
        </w:rPr>
        <w:t xml:space="preserve">até 3 (três) dias úteis antes da data de abertura do certame. (Art. 164 da Lei 14</w:t>
      </w:r>
      <w:r>
        <w:rPr>
          <w:rFonts w:ascii="Arial" w:hAnsi="Arial" w:cs="Arial"/>
        </w:rPr>
        <w:t xml:space="preserve">.133, de 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000000"/>
        </w:rPr>
        <w:t xml:space="preserve">30.</w:t>
      </w:r>
      <w:r>
        <w:rPr>
          <w:rFonts w:ascii="Arial" w:hAnsi="Arial" w:cs="Arial"/>
          <w:b/>
          <w:color w:val="000000"/>
        </w:rPr>
        <w:t xml:space="preserve">2.</w:t>
      </w:r>
      <w:r>
        <w:rPr>
          <w:rFonts w:ascii="Arial" w:hAnsi="Arial" w:cs="Arial"/>
          <w:color w:val="000000"/>
        </w:rPr>
        <w:t xml:space="preserve"> A resposta à impugnação ou ao pedido de esclarecimento será divulgado no </w:t>
      </w:r>
      <w:r>
        <w:rPr>
          <w:rFonts w:ascii="Arial" w:hAnsi="Arial" w:cs="Arial"/>
          <w:b/>
          <w:color w:val="000000"/>
        </w:rPr>
        <w:t xml:space="preserve">site bllcompras.com</w:t>
      </w:r>
      <w:r>
        <w:rPr>
          <w:rFonts w:ascii="Arial" w:hAnsi="Arial" w:cs="Arial"/>
          <w:color w:val="000000"/>
        </w:rPr>
        <w:t xml:space="preserve">, no campo “</w:t>
      </w:r>
      <w:r>
        <w:rPr>
          <w:rFonts w:ascii="Arial" w:hAnsi="Arial" w:cs="Arial"/>
          <w:b/>
          <w:color w:val="000000"/>
        </w:rPr>
        <w:t xml:space="preserve">DOCUMENTOS</w:t>
      </w:r>
      <w:r>
        <w:rPr>
          <w:rFonts w:ascii="Arial" w:hAnsi="Arial" w:cs="Arial"/>
          <w:color w:val="000000"/>
        </w:rPr>
        <w:t xml:space="preserve">”, no link correspondente a este Edital, no prazo de até 3 (três) dias úteis, limitado ao último dia útil anterior à data da abertura do certame.</w:t>
      </w:r>
      <w:r>
        <w:rPr>
          <w:rFonts w:ascii="Arial" w:hAnsi="Arial" w:cs="Arial"/>
        </w:rPr>
      </w:r>
      <w:r>
        <w:rPr>
          <w:rFonts w:ascii="Arial" w:hAnsi="Arial" w:cs="Arial"/>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rPr>
      </w:pPr>
      <w:r>
        <w:rPr>
          <w:rFonts w:ascii="Arial" w:hAnsi="Arial" w:cs="Arial"/>
          <w:b/>
          <w:color w:val="000000"/>
        </w:rPr>
        <w:t xml:space="preserve">30.</w:t>
      </w:r>
      <w:r>
        <w:rPr>
          <w:rFonts w:ascii="Arial" w:hAnsi="Arial" w:cs="Arial"/>
          <w:b/>
        </w:rPr>
        <w:t xml:space="preserve">3.</w:t>
      </w:r>
      <w:r>
        <w:rPr>
          <w:rFonts w:ascii="Arial" w:hAnsi="Arial" w:cs="Arial"/>
        </w:rPr>
        <w:t xml:space="preserve"> Na contagem dos prazos estabelecidos neste Edital e seus Anexos, excluir-se-á o dia do início e incluir-se-á o dia do vencimento. Só se iniciam e vencem os prazos em dias de expediente na Administração.</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color w:val="000000"/>
        </w:rPr>
        <w:t xml:space="preserve">30.</w:t>
      </w:r>
      <w:r>
        <w:rPr>
          <w:rFonts w:ascii="Arial" w:hAnsi="Arial" w:cs="Arial"/>
          <w:b/>
        </w:rPr>
        <w:t xml:space="preserve">3.1.</w:t>
      </w:r>
      <w:r>
        <w:rPr>
          <w:rFonts w:ascii="Arial" w:hAnsi="Arial" w:cs="Arial"/>
        </w:rPr>
        <w:t xml:space="preserve"> A contagem</w:t>
      </w:r>
      <w:r>
        <w:rPr>
          <w:rFonts w:ascii="Arial" w:hAnsi="Arial" w:cs="Arial"/>
        </w:rPr>
        <w:t xml:space="preserve"> dos prazos para impugnar ou solicitar esclarecimento ao edital se dará da seguinte forma: o referido prazo será contado de trás para a frente, </w:t>
      </w:r>
      <w:r>
        <w:rPr>
          <w:rFonts w:ascii="Arial" w:hAnsi="Arial" w:cs="Arial"/>
          <w:u w:val="single"/>
        </w:rPr>
        <w:t xml:space="preserve">o dia do início será o da sessão pública</w:t>
      </w:r>
      <w:r>
        <w:rPr>
          <w:rFonts w:ascii="Arial" w:hAnsi="Arial" w:cs="Arial"/>
        </w:rPr>
        <w:t xml:space="preserve">, portanto, </w:t>
      </w:r>
      <w:r>
        <w:rPr>
          <w:rFonts w:ascii="Arial" w:hAnsi="Arial" w:cs="Arial"/>
          <w:u w:val="single"/>
        </w:rPr>
        <w:t xml:space="preserve">exclui-se da contagem</w:t>
      </w:r>
      <w:r>
        <w:rPr>
          <w:rFonts w:ascii="Arial" w:hAnsi="Arial" w:cs="Arial"/>
        </w:rPr>
        <w:t xml:space="preserve">, e </w:t>
      </w:r>
      <w:r>
        <w:rPr>
          <w:rFonts w:ascii="Arial" w:hAnsi="Arial" w:cs="Arial"/>
          <w:u w:val="single"/>
        </w:rPr>
        <w:t xml:space="preserve">inclui-se o dia do vencimento</w:t>
      </w:r>
      <w:r>
        <w:rPr>
          <w:rFonts w:ascii="Arial" w:hAnsi="Arial" w:cs="Arial"/>
        </w:rPr>
        <w:t xml:space="preserve">. Exemplo: em uma licitação marca para </w:t>
      </w:r>
      <w:r>
        <w:rPr>
          <w:rFonts w:ascii="Arial" w:hAnsi="Arial" w:cs="Arial"/>
          <w:u w:val="single"/>
        </w:rPr>
        <w:t xml:space="preserve">sexta feira</w:t>
      </w:r>
      <w:r>
        <w:rPr>
          <w:rFonts w:ascii="Arial" w:hAnsi="Arial" w:cs="Arial"/>
        </w:rPr>
        <w:t xml:space="preserve"> o dia do vencimento será na </w:t>
      </w:r>
      <w:r>
        <w:rPr>
          <w:rFonts w:ascii="Arial" w:hAnsi="Arial" w:cs="Arial"/>
          <w:u w:val="single"/>
        </w:rPr>
        <w:t xml:space="preserve">terça feira</w:t>
      </w:r>
      <w:r>
        <w:rPr>
          <w:rFonts w:ascii="Arial" w:hAnsi="Arial" w:cs="Arial"/>
        </w:rPr>
        <w:t xml:space="preserve">, considerando uma semana de expediente na Administração.</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color w:val="000000"/>
        </w:rPr>
        <w:t xml:space="preserve">30.</w:t>
      </w:r>
      <w:r>
        <w:rPr>
          <w:rFonts w:ascii="Arial" w:hAnsi="Arial" w:cs="Arial"/>
          <w:b/>
        </w:rPr>
        <w:t xml:space="preserve">3.2. </w:t>
      </w:r>
      <w:r>
        <w:rPr>
          <w:rFonts w:ascii="Arial" w:hAnsi="Arial" w:cs="Arial"/>
        </w:rPr>
        <w:t xml:space="preserve">Os pedidos de impugnações e esclarecimentos solicitados fora do prazo estabelecido neste edital não serão</w:t>
      </w:r>
      <w:r>
        <w:rPr>
          <w:rFonts w:ascii="Arial" w:hAnsi="Arial" w:cs="Arial"/>
        </w:rPr>
        <w:t xml:space="preserve"> reconhecidos.</w:t>
      </w:r>
      <w:r>
        <w:rPr>
          <w:rFonts w:ascii="Arial" w:hAnsi="Arial" w:cs="Arial"/>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rPr>
      </w:pPr>
      <w:r>
        <w:rPr>
          <w:rFonts w:ascii="Arial" w:hAnsi="Arial" w:cs="Arial"/>
          <w:b/>
          <w:color w:val="000000"/>
        </w:rPr>
        <w:t xml:space="preserve">30.</w:t>
      </w:r>
      <w:r>
        <w:rPr>
          <w:rFonts w:ascii="Arial" w:hAnsi="Arial" w:cs="Arial"/>
          <w:b/>
          <w:color w:val="000000"/>
        </w:rPr>
        <w:t xml:space="preserve">4.</w:t>
      </w:r>
      <w:r>
        <w:rPr>
          <w:rFonts w:ascii="Arial" w:hAnsi="Arial" w:cs="Arial"/>
          <w:color w:val="000000"/>
        </w:rPr>
        <w:t xml:space="preserve"> </w:t>
      </w:r>
      <w:r>
        <w:rPr>
          <w:rFonts w:ascii="Arial" w:hAnsi="Arial" w:cs="Arial"/>
        </w:rPr>
        <w:t xml:space="preserve">As impugnações e pedidos de esclarecimentos não suspendem os prazos previstos no certame.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000000"/>
        </w:rPr>
        <w:t xml:space="preserve">30.</w:t>
      </w:r>
      <w:r>
        <w:rPr>
          <w:rFonts w:ascii="Arial" w:hAnsi="Arial" w:cs="Arial"/>
          <w:b/>
          <w:color w:val="000000"/>
        </w:rPr>
        <w:t xml:space="preserve">5.</w:t>
      </w:r>
      <w:r>
        <w:rPr>
          <w:rFonts w:ascii="Arial" w:hAnsi="Arial" w:cs="Arial"/>
          <w:color w:val="000000"/>
        </w:rPr>
        <w:t xml:space="preserve">  </w:t>
      </w:r>
      <w:r>
        <w:rPr>
          <w:rFonts w:ascii="Arial" w:hAnsi="Arial" w:cs="Arial"/>
        </w:rPr>
        <w:t xml:space="preserve">A concessão de efeito suspensivo à impugnação é medida excepcional e deverá ser motivada pelo agente de contratação, nos autos do processo de licitação.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000000"/>
        </w:rPr>
        <w:t xml:space="preserve">30.</w:t>
      </w:r>
      <w:r>
        <w:rPr>
          <w:rFonts w:ascii="Arial" w:hAnsi="Arial" w:cs="Arial"/>
          <w:b/>
          <w:color w:val="000000"/>
        </w:rPr>
        <w:t xml:space="preserve">6.</w:t>
      </w:r>
      <w:r>
        <w:rPr>
          <w:rFonts w:ascii="Arial" w:hAnsi="Arial" w:cs="Arial"/>
          <w:color w:val="000000"/>
        </w:rPr>
        <w:t xml:space="preserve">  </w:t>
      </w:r>
      <w:r>
        <w:rPr>
          <w:rFonts w:ascii="Arial" w:hAnsi="Arial" w:cs="Arial"/>
        </w:rPr>
        <w:t xml:space="preserve">Acolhida a impugnação, será definida e publicada nova data para a realização do certame.</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color w:val="000000"/>
        </w:rPr>
        <w:t xml:space="preserve">30.</w:t>
      </w:r>
      <w:r>
        <w:rPr>
          <w:rFonts w:ascii="Arial" w:hAnsi="Arial" w:cs="Arial"/>
          <w:b/>
        </w:rPr>
        <w:t xml:space="preserve">7.</w:t>
      </w:r>
      <w:r>
        <w:rPr>
          <w:rFonts w:ascii="Arial" w:hAnsi="Arial" w:cs="Arial"/>
        </w:rPr>
        <w:t xml:space="preserve"> A impugnação não impede a impugnante de participar do processo licitatório até o trânsito em julgado da decisão a ela pertinente.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color w:val="000000"/>
        </w:rPr>
      </w:pPr>
      <w:r>
        <w:rPr>
          <w:rFonts w:ascii="Arial" w:hAnsi="Arial" w:cs="Arial"/>
          <w:b/>
          <w:color w:val="000000"/>
        </w:rPr>
        <w:t xml:space="preserve">30.</w:t>
      </w:r>
      <w:r>
        <w:rPr>
          <w:rFonts w:ascii="Arial" w:hAnsi="Arial" w:cs="Arial"/>
          <w:b/>
        </w:rPr>
        <w:t xml:space="preserve">8.</w:t>
      </w:r>
      <w:r>
        <w:rPr>
          <w:rFonts w:ascii="Arial" w:hAnsi="Arial" w:cs="Arial"/>
        </w:rPr>
        <w:t xml:space="preserve"> Ocorrendo a impugnação de caráter meramente protelatório, ensejando assim o retardamento da execução do certame, a autoridade competente poderá, assegurado o contraditório e a ampla defesa, </w:t>
      </w:r>
      <w:r>
        <w:rPr>
          <w:rFonts w:ascii="Arial" w:hAnsi="Arial" w:cs="Arial"/>
          <w:color w:val="000000"/>
        </w:rPr>
        <w:t xml:space="preserve">aplicar a pena em conformidade com a legislação vigente.</w:t>
      </w:r>
      <w:r>
        <w:rPr>
          <w:rFonts w:ascii="Arial" w:hAnsi="Arial" w:cs="Arial"/>
          <w:color w:val="000000"/>
        </w:rPr>
      </w:r>
      <w:r>
        <w:rPr>
          <w:rFonts w:ascii="Arial" w:hAnsi="Arial" w:cs="Arial"/>
          <w:color w:val="000000"/>
        </w:rPr>
      </w:r>
    </w:p>
    <w:p>
      <w:pPr>
        <w:pStyle w:val="828"/>
        <w:pBdr/>
        <w:spacing/>
        <w:ind/>
        <w:jc w:val="both"/>
        <w:rPr>
          <w:rFonts w:ascii="Arial" w:hAnsi="Arial" w:cs="Arial"/>
        </w:rPr>
      </w:pPr>
      <w:r>
        <w:rPr>
          <w:rFonts w:ascii="Arial" w:hAnsi="Arial" w:cs="Arial"/>
        </w:rPr>
      </w:r>
      <w:r>
        <w:rPr>
          <w:rFonts w:ascii="Arial" w:hAnsi="Arial" w:cs="Arial"/>
        </w:rPr>
      </w:r>
    </w:p>
    <w:p>
      <w:pPr>
        <w:pStyle w:val="829"/>
        <w:pBdr/>
        <w:spacing w:after="0" w:before="0"/>
        <w:ind/>
        <w:rPr>
          <w:sz w:val="20"/>
          <w:szCs w:val="20"/>
        </w:rPr>
      </w:pPr>
      <w:r/>
      <w:bookmarkStart w:id="29" w:name="__RefHeading___Toc190782032"/>
      <w:r>
        <w:rPr>
          <w:rFonts w:eastAsia="SimSun"/>
          <w:sz w:val="20"/>
          <w:szCs w:val="20"/>
          <w:lang w:val="pt-BR"/>
        </w:rPr>
        <w:t xml:space="preserve">3</w:t>
      </w:r>
      <w:r>
        <w:rPr>
          <w:rFonts w:eastAsia="SimSun"/>
          <w:sz w:val="20"/>
          <w:szCs w:val="20"/>
          <w:lang w:val="pt-BR"/>
        </w:rPr>
        <w:t xml:space="preserve">1</w:t>
      </w:r>
      <w:r>
        <w:rPr>
          <w:rFonts w:eastAsia="SimSun"/>
          <w:sz w:val="20"/>
          <w:szCs w:val="20"/>
          <w:lang w:val="pt-BR"/>
        </w:rPr>
        <w:t xml:space="preserve">. DAS DISPOSIÇÕES GERAIS:</w:t>
      </w:r>
      <w:bookmarkEnd w:id="29"/>
      <w:r>
        <w:rPr>
          <w:rFonts w:eastAsia="SimSun"/>
          <w:sz w:val="20"/>
          <w:szCs w:val="20"/>
          <w:lang w:val="pt-BR"/>
        </w:rPr>
        <w:t xml:space="preserve"> </w:t>
      </w:r>
      <w:r>
        <w:rPr>
          <w:sz w:val="20"/>
          <w:szCs w:val="20"/>
        </w:rPr>
      </w:r>
      <w:r>
        <w:rPr>
          <w:sz w:val="20"/>
          <w:szCs w:val="20"/>
        </w:rPr>
      </w:r>
    </w:p>
    <w:p>
      <w:pPr>
        <w:pStyle w:val="828"/>
        <w:pBdr/>
        <w:spacing/>
        <w:ind/>
        <w:jc w:val="both"/>
        <w:rPr>
          <w:rFonts w:ascii="Arial" w:hAnsi="Arial" w:eastAsia="SimSun" w:cs="Arial"/>
          <w:b/>
        </w:rPr>
      </w:pPr>
      <w:r>
        <w:rPr>
          <w:rFonts w:ascii="Arial" w:hAnsi="Arial" w:eastAsia="SimSun" w:cs="Arial"/>
          <w:b/>
        </w:rPr>
      </w:r>
      <w:r>
        <w:rPr>
          <w:rFonts w:ascii="Arial" w:hAnsi="Arial" w:eastAsia="SimSun" w:cs="Arial"/>
          <w:b/>
        </w:rPr>
      </w:r>
    </w:p>
    <w:p>
      <w:pPr>
        <w:pStyle w:val="828"/>
        <w:pBdr/>
        <w:spacing/>
        <w:ind/>
        <w:jc w:val="both"/>
        <w:rPr>
          <w:rFonts w:ascii="Arial" w:hAnsi="Arial" w:cs="Arial"/>
        </w:rPr>
      </w:pPr>
      <w:r>
        <w:rPr>
          <w:rFonts w:ascii="Arial" w:hAnsi="Arial" w:cs="Arial"/>
          <w:b/>
        </w:rPr>
        <w:t xml:space="preserve">3</w:t>
      </w:r>
      <w:r>
        <w:rPr>
          <w:rFonts w:ascii="Arial" w:hAnsi="Arial" w:cs="Arial"/>
          <w:b/>
        </w:rPr>
        <w:t xml:space="preserve">1</w:t>
      </w:r>
      <w:r>
        <w:rPr>
          <w:rFonts w:ascii="Arial" w:hAnsi="Arial" w:cs="Arial"/>
          <w:b/>
          <w:color w:val="000000"/>
        </w:rPr>
        <w:t xml:space="preserve">.1.</w:t>
      </w:r>
      <w:r>
        <w:rPr>
          <w:rFonts w:ascii="Arial" w:hAnsi="Arial" w:cs="Arial"/>
          <w:color w:val="000000"/>
        </w:rPr>
        <w:t xml:space="preserve"> </w:t>
      </w:r>
      <w:r>
        <w:rPr>
          <w:rFonts w:ascii="Arial" w:hAnsi="Arial" w:cs="Arial"/>
        </w:rPr>
        <w:t xml:space="preserve">Os licitantes assumem todos os custos de preparação e apresentação de suas propostas e a Administração não será, em nenhum caso, responsável por esses custos, independentemente da condução ou do resultado do processo licitató</w:t>
      </w:r>
      <w:r>
        <w:rPr>
          <w:rFonts w:ascii="Arial" w:hAnsi="Arial" w:cs="Arial"/>
        </w:rPr>
        <w:t xml:space="preserve">rio.</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31</w:t>
      </w:r>
      <w:r>
        <w:rPr>
          <w:rFonts w:ascii="Arial" w:hAnsi="Arial" w:cs="Arial"/>
          <w:b/>
          <w:color w:val="000000"/>
        </w:rPr>
        <w:t xml:space="preserve">.2.</w:t>
      </w:r>
      <w:r>
        <w:rPr>
          <w:rFonts w:ascii="Arial" w:hAnsi="Arial" w:cs="Arial"/>
          <w:color w:val="000000"/>
        </w:rPr>
        <w:t xml:space="preserve"> </w:t>
      </w:r>
      <w:r>
        <w:rPr>
          <w:rFonts w:ascii="Arial" w:hAnsi="Arial" w:cs="Arial"/>
        </w:rPr>
        <w:t xml:space="preserve">O desatendimento de exigências formais não essenciais não importará o afastamento do licitante, desde que seja possível o aproveitamento do ato, observados os princípios da isonomia e do interesse público.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31</w:t>
      </w:r>
      <w:r>
        <w:rPr>
          <w:rFonts w:ascii="Arial" w:hAnsi="Arial" w:cs="Arial"/>
          <w:b/>
          <w:color w:val="000000"/>
        </w:rPr>
        <w:t xml:space="preserve">.3.</w:t>
      </w:r>
      <w:r>
        <w:rPr>
          <w:rFonts w:ascii="Arial" w:hAnsi="Arial" w:cs="Arial"/>
          <w:color w:val="000000"/>
        </w:rPr>
        <w:t xml:space="preserve"> A sessão pública poderá ser suspensa, por prazo a ser definido na própria sessão, para a análise prévia proposta ou de documento exigidos para habilitação que se fizer necessário. </w:t>
      </w:r>
      <w:r>
        <w:rPr>
          <w:rFonts w:ascii="Arial" w:hAnsi="Arial" w:cs="Arial"/>
        </w:rPr>
      </w:r>
      <w:r>
        <w:rPr>
          <w:rFonts w:ascii="Arial" w:hAnsi="Arial" w:cs="Arial"/>
        </w:rPr>
      </w:r>
    </w:p>
    <w:p>
      <w:pPr>
        <w:pStyle w:val="828"/>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left="284"/>
        <w:jc w:val="both"/>
        <w:rPr>
          <w:rFonts w:ascii="Arial" w:hAnsi="Arial" w:cs="Arial"/>
        </w:rPr>
      </w:pPr>
      <w:r>
        <w:rPr>
          <w:rFonts w:ascii="Arial" w:hAnsi="Arial" w:cs="Arial"/>
          <w:b/>
        </w:rPr>
        <w:t xml:space="preserve">31.</w:t>
      </w:r>
      <w:r>
        <w:rPr>
          <w:rFonts w:ascii="Arial" w:hAnsi="Arial" w:cs="Arial"/>
          <w:b/>
          <w:color w:val="000000"/>
        </w:rPr>
        <w:t xml:space="preserve">3.1.</w:t>
      </w:r>
      <w:r>
        <w:rPr>
          <w:rFonts w:ascii="Arial" w:hAnsi="Arial" w:cs="Arial"/>
          <w:color w:val="000000"/>
        </w:rPr>
        <w:t xml:space="preserve"> Todos e quaisquer avisos pertinentes ao certame, </w:t>
      </w:r>
      <w:r>
        <w:rPr>
          <w:rFonts w:ascii="Arial" w:hAnsi="Arial" w:cs="Arial"/>
          <w:b/>
        </w:rPr>
        <w:t xml:space="preserve">adendos, esclarecimentos, impugnações, </w:t>
      </w:r>
      <w:r>
        <w:rPr>
          <w:rFonts w:ascii="Arial" w:hAnsi="Arial" w:cs="Arial"/>
        </w:rPr>
        <w:t xml:space="preserve">farão par</w:t>
      </w:r>
      <w:r>
        <w:rPr>
          <w:rFonts w:ascii="Arial" w:hAnsi="Arial" w:cs="Arial"/>
        </w:rPr>
        <w:t xml:space="preserve">te do instrumento convocatório, </w:t>
      </w:r>
      <w:r>
        <w:rPr>
          <w:rFonts w:ascii="Arial" w:hAnsi="Arial" w:cs="Arial"/>
          <w:color w:val="000000"/>
        </w:rPr>
        <w:t xml:space="preserve">suspensão em decorrência de horário de expediente ou fatos supervenientes, serão postados no chat e/ou anexados no campo “</w:t>
      </w:r>
      <w:r>
        <w:rPr>
          <w:rFonts w:ascii="Arial" w:hAnsi="Arial" w:cs="Arial"/>
          <w:b/>
          <w:color w:val="000000"/>
        </w:rPr>
        <w:t xml:space="preserve">DOCUMENTO</w:t>
      </w:r>
      <w:r>
        <w:rPr>
          <w:rFonts w:ascii="Arial" w:hAnsi="Arial" w:cs="Arial"/>
          <w:color w:val="000000"/>
        </w:rPr>
        <w:t xml:space="preserve">” no sistema </w:t>
      </w:r>
      <w:r>
        <w:rPr>
          <w:rFonts w:ascii="Arial" w:hAnsi="Arial" w:cs="Arial"/>
        </w:rPr>
        <w:fldChar w:fldCharType="begin"/>
      </w:r>
      <w:r>
        <w:rPr>
          <w:rFonts w:ascii="Arial" w:hAnsi="Arial" w:cs="Arial"/>
        </w:rPr>
        <w:instrText xml:space="preserve"> HYPERLINK "http://bllcompras.com/"</w:instrText>
      </w:r>
      <w:r>
        <w:rPr>
          <w:rFonts w:ascii="Arial" w:hAnsi="Arial" w:cs="Arial"/>
        </w:rPr>
        <w:fldChar w:fldCharType="separate"/>
      </w:r>
      <w:r>
        <w:rPr>
          <w:rStyle w:val="900"/>
          <w:rFonts w:ascii="Arial" w:hAnsi="Arial" w:cs="Arial"/>
          <w:b/>
          <w:color w:val="000000"/>
        </w:rPr>
        <w:t xml:space="preserve">bllcompras.com</w:t>
      </w:r>
      <w:r>
        <w:rPr>
          <w:rFonts w:ascii="Arial" w:hAnsi="Arial" w:cs="Arial"/>
        </w:rPr>
        <w:fldChar w:fldCharType="end"/>
      </w:r>
      <w:r>
        <w:rPr>
          <w:rFonts w:ascii="Arial" w:hAnsi="Arial" w:cs="Arial"/>
          <w:color w:val="000000"/>
        </w:rPr>
        <w:t xml:space="preserve">, sendo de inteira responsabilidade o acompanhamento por parte do licitante.</w:t>
      </w:r>
      <w:r>
        <w:rPr>
          <w:rFonts w:ascii="Arial" w:hAnsi="Arial" w:cs="Arial"/>
          <w:color w:val="ff0000"/>
        </w:rPr>
        <w:t xml:space="preserve"> </w:t>
      </w:r>
      <w:r>
        <w:rPr>
          <w:rFonts w:ascii="Arial" w:hAnsi="Arial" w:cs="Arial"/>
          <w:color w:val="000000"/>
        </w:rPr>
        <w:t xml:space="preserve">Não podendo o licitante alegar desconhecimento da informação, sob pena de decair seus direitos. </w:t>
      </w:r>
      <w:r>
        <w:rPr>
          <w:rFonts w:ascii="Arial" w:hAnsi="Arial" w:cs="Arial"/>
        </w:rPr>
      </w:r>
      <w:r>
        <w:rPr>
          <w:rFonts w:ascii="Arial" w:hAnsi="Arial" w:cs="Arial"/>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rPr>
        <w:t xml:space="preserve">31</w:t>
      </w:r>
      <w:r>
        <w:rPr>
          <w:rFonts w:ascii="Arial" w:hAnsi="Arial" w:cs="Arial"/>
          <w:b/>
        </w:rPr>
        <w:t xml:space="preserve">.4.</w:t>
      </w:r>
      <w:r>
        <w:rPr>
          <w:rFonts w:ascii="Arial" w:hAnsi="Arial" w:cs="Arial"/>
        </w:rPr>
        <w:t xml:space="preserve"> Não havendo expediente ou ocorrendo qualquer fato superveniente que impeça a realização do certame na </w:t>
      </w:r>
      <w:r>
        <w:rPr>
          <w:rFonts w:ascii="Arial" w:hAnsi="Arial" w:cs="Arial"/>
        </w:rPr>
        <w:t xml:space="preserve">data marcada, a sessão será automaticamente transferida para o primeiro dia útil subsequente, no mesmo horário e local, anteriormente estabelecidos, desde que não haja comunicação do Pregoeiro em contrário. </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31</w:t>
      </w:r>
      <w:r>
        <w:rPr>
          <w:rFonts w:ascii="Arial" w:hAnsi="Arial" w:cs="Arial"/>
          <w:b/>
        </w:rPr>
        <w:t xml:space="preserve">.5.</w:t>
      </w:r>
      <w:r>
        <w:rPr>
          <w:rFonts w:ascii="Arial" w:hAnsi="Arial" w:cs="Arial"/>
        </w:rPr>
        <w:t xml:space="preserve"> Os licitantes deverão examinar detidament</w:t>
      </w:r>
      <w:r>
        <w:rPr>
          <w:rFonts w:ascii="Arial" w:hAnsi="Arial" w:cs="Arial"/>
        </w:rPr>
        <w:t xml:space="preserve">e as disposições contidas neste Edital e em seus Anexos, pois a simples apresentação das propostas subentende a aceitação incondicional de seus termos, independentemente de transcrição, não sendo aceitas quaisquer alegações de desconhecimento de qualquer p</w:t>
      </w:r>
      <w:r>
        <w:rPr>
          <w:rFonts w:ascii="Arial" w:hAnsi="Arial" w:cs="Arial"/>
        </w:rPr>
        <w:t xml:space="preserve">or menor. </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31</w:t>
      </w:r>
      <w:r>
        <w:rPr>
          <w:rFonts w:ascii="Arial" w:hAnsi="Arial" w:cs="Arial"/>
          <w:b/>
        </w:rPr>
        <w:t xml:space="preserve">.6.</w:t>
      </w:r>
      <w:r>
        <w:rPr>
          <w:rFonts w:ascii="Arial" w:hAnsi="Arial" w:cs="Arial"/>
        </w:rPr>
        <w:t xml:space="preserve"> É facultada a</w:t>
      </w:r>
      <w:r>
        <w:rPr>
          <w:rFonts w:ascii="Arial" w:hAnsi="Arial" w:cs="Arial"/>
        </w:rPr>
        <w:t xml:space="preserve">o Pregoeiro ou autoridade superior em qualquer fase da licitação, a promoção de diligência destinada a esclarecer ou complementar a instrução do processo, vedada a inclusão posterior de documento ou informação que deveria constar no ato da sessão pública. </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31</w:t>
      </w:r>
      <w:r>
        <w:rPr>
          <w:rFonts w:ascii="Arial" w:hAnsi="Arial" w:cs="Arial"/>
          <w:b/>
        </w:rPr>
        <w:t xml:space="preserve">.7.</w:t>
      </w:r>
      <w:r>
        <w:rPr>
          <w:rFonts w:ascii="Arial" w:hAnsi="Arial" w:cs="Arial"/>
        </w:rPr>
        <w:t xml:space="preserve"> A Autoridade competente poderá cancelar a licitação por fato superveniente devidamente comprovado, pertinente e suficiente para justificar tal conduta, devendo anulá-la por ilegalidade, de ofício ou por provocação de </w:t>
      </w:r>
      <w:r>
        <w:rPr>
          <w:rFonts w:ascii="Arial" w:hAnsi="Arial" w:cs="Arial"/>
        </w:rPr>
        <w:t xml:space="preserve">qualquer pessoa, mediante ato escrito e fundamentado.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rPr>
        <w:t xml:space="preserve">31</w:t>
      </w:r>
      <w:r>
        <w:rPr>
          <w:rFonts w:ascii="Arial" w:hAnsi="Arial" w:cs="Arial"/>
          <w:b/>
        </w:rPr>
        <w:t xml:space="preserve">.7.1.</w:t>
      </w:r>
      <w:r>
        <w:rPr>
          <w:rFonts w:ascii="Arial" w:hAnsi="Arial" w:cs="Arial"/>
        </w:rPr>
        <w:t xml:space="preserve"> A anulação do procedimento licitatório induz a anulação do contrato.</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rPr>
        <w:t xml:space="preserve">31</w:t>
      </w:r>
      <w:r>
        <w:rPr>
          <w:rFonts w:ascii="Arial" w:hAnsi="Arial" w:cs="Arial"/>
          <w:b/>
        </w:rPr>
        <w:t xml:space="preserve">.7.2.</w:t>
      </w:r>
      <w:r>
        <w:rPr>
          <w:rFonts w:ascii="Arial" w:hAnsi="Arial" w:cs="Arial"/>
        </w:rPr>
        <w:t xml:space="preserve"> Os licitantes não terão direito à indenização em decorrência da anulação do procedimento licitatório, ressalvado o direito do contratado de boa-fé de ser ressarcido pelos encargos que tiver suportado no cumprimento das obrigações. </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31</w:t>
      </w:r>
      <w:r>
        <w:rPr>
          <w:rFonts w:ascii="Arial" w:hAnsi="Arial" w:cs="Arial"/>
          <w:b/>
        </w:rPr>
        <w:t xml:space="preserve">.8.</w:t>
      </w:r>
      <w:r>
        <w:rPr>
          <w:rFonts w:ascii="Arial" w:hAnsi="Arial" w:cs="Arial"/>
        </w:rPr>
        <w:t xml:space="preserve"> </w:t>
      </w:r>
      <w:r>
        <w:rPr>
          <w:rFonts w:ascii="Arial" w:hAnsi="Arial" w:cs="Arial"/>
        </w:rPr>
        <w:t xml:space="preserve">As normas disciplinadoras da licitação serão sempre interpretadas em favor da ampliação da disputa entre os interessados, desde que</w:t>
      </w:r>
      <w:r>
        <w:rPr>
          <w:rFonts w:ascii="Arial" w:hAnsi="Arial" w:cs="Arial"/>
        </w:rPr>
        <w:t xml:space="preserve"> não comprometam o interesse da Administração, o princípio da isonomia, a finalidade e a segurança da contratação.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31</w:t>
      </w:r>
      <w:r>
        <w:rPr>
          <w:rFonts w:ascii="Arial" w:hAnsi="Arial" w:cs="Arial"/>
          <w:b/>
        </w:rPr>
        <w:t xml:space="preserve">.9.</w:t>
      </w:r>
      <w:r>
        <w:rPr>
          <w:rFonts w:ascii="Arial" w:hAnsi="Arial" w:cs="Arial"/>
        </w:rPr>
        <w:t xml:space="preserve"> A homologação do resultado desta licitação não implicará direito à contratação. </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31</w:t>
      </w:r>
      <w:r>
        <w:rPr>
          <w:rFonts w:ascii="Arial" w:hAnsi="Arial" w:cs="Arial"/>
          <w:b/>
          <w:color w:val="000000"/>
        </w:rPr>
        <w:t xml:space="preserve">.10.</w:t>
      </w:r>
      <w:r>
        <w:rPr>
          <w:rFonts w:ascii="Arial" w:hAnsi="Arial" w:cs="Arial"/>
          <w:color w:val="000000"/>
        </w:rPr>
        <w:t xml:space="preserve"> É de inteira responsabilidade do licitante o acompanhamento no </w:t>
      </w:r>
      <w:r>
        <w:rPr>
          <w:rFonts w:ascii="Arial" w:hAnsi="Arial" w:cs="Arial"/>
          <w:b/>
          <w:color w:val="000000"/>
        </w:rPr>
        <w:t xml:space="preserve">site bllcompras.com</w:t>
      </w:r>
      <w:r>
        <w:rPr>
          <w:rFonts w:ascii="Arial" w:hAnsi="Arial" w:cs="Arial"/>
          <w:color w:val="000000"/>
        </w:rPr>
        <w:t xml:space="preserve"> quanto a sua classificação/desclassificação, ficando responsável pelo ônus decorrente da perda de negócios diante da inobservância e cumprimento do prazo. </w:t>
      </w:r>
      <w:r>
        <w:rPr>
          <w:rFonts w:ascii="Arial" w:hAnsi="Arial" w:cs="Arial"/>
        </w:rPr>
      </w:r>
      <w:r>
        <w:rPr>
          <w:rFonts w:ascii="Arial" w:hAnsi="Arial" w:cs="Arial"/>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rPr>
        <w:t xml:space="preserve">31</w:t>
      </w:r>
      <w:r>
        <w:rPr>
          <w:rFonts w:ascii="Arial" w:hAnsi="Arial" w:cs="Arial"/>
          <w:b/>
        </w:rPr>
        <w:t xml:space="preserve">.11.</w:t>
      </w:r>
      <w:r>
        <w:rPr>
          <w:rFonts w:ascii="Arial" w:hAnsi="Arial" w:cs="Arial"/>
        </w:rPr>
        <w:t xml:space="preserve"> Quaisquer cláusulas deste edital que não seja cumprid</w:t>
      </w:r>
      <w:r>
        <w:rPr>
          <w:rFonts w:ascii="Arial" w:hAnsi="Arial" w:cs="Arial"/>
        </w:rPr>
        <w:t xml:space="preserve">o, caberá ao pregoeiro a decisão sobre a desclassificação do licitante, em razão dos danos causados ao processo. </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31.</w:t>
      </w:r>
      <w:r>
        <w:rPr>
          <w:rFonts w:ascii="Arial" w:hAnsi="Arial" w:cs="Arial"/>
          <w:b/>
        </w:rPr>
        <w:t xml:space="preserve">12.</w:t>
      </w:r>
      <w:r>
        <w:rPr>
          <w:rFonts w:ascii="Arial" w:hAnsi="Arial" w:cs="Arial"/>
        </w:rPr>
        <w:t xml:space="preserve"> O Edital está disponível, na íntegra, </w:t>
      </w:r>
      <w:r>
        <w:rPr>
          <w:rFonts w:ascii="Arial" w:hAnsi="Arial" w:cs="Arial"/>
          <w:b/>
        </w:rPr>
        <w:t xml:space="preserve">nos endereços eletrônico</w:t>
      </w:r>
      <w:r>
        <w:rPr>
          <w:rFonts w:ascii="Arial" w:hAnsi="Arial" w:cs="Arial"/>
        </w:rPr>
        <w:t xml:space="preserve"> </w:t>
      </w:r>
      <w:r>
        <w:rPr>
          <w:rFonts w:ascii="Arial" w:hAnsi="Arial" w:cs="Arial"/>
        </w:rPr>
        <w:fldChar w:fldCharType="begin"/>
      </w:r>
      <w:r>
        <w:rPr>
          <w:rFonts w:ascii="Arial" w:hAnsi="Arial" w:cs="Arial"/>
        </w:rPr>
        <w:instrText xml:space="preserve"> HYPERLINK ""</w:instrText>
      </w:r>
      <w:r>
        <w:rPr>
          <w:rFonts w:ascii="Arial" w:hAnsi="Arial" w:cs="Arial"/>
        </w:rPr>
        <w:fldChar w:fldCharType="separate"/>
      </w:r>
      <w:r>
        <w:rPr>
          <w:rFonts w:ascii="Arial" w:hAnsi="Arial" w:cs="Arial"/>
          <w:shd w:val="clear" w:color="auto" w:fill="ffffff"/>
        </w:rPr>
        <w:t xml:space="preserve">https://bllcompras.com›</w:t>
      </w:r>
      <w:r>
        <w:rPr>
          <w:rFonts w:ascii="Arial" w:hAnsi="Arial" w:cs="Arial"/>
        </w:rPr>
        <w:fldChar w:fldCharType="end"/>
      </w:r>
      <w:r>
        <w:rPr>
          <w:rFonts w:ascii="Arial" w:hAnsi="Arial" w:cs="Arial"/>
          <w:b/>
        </w:rPr>
        <w:t xml:space="preserve">; </w:t>
      </w:r>
      <w:r>
        <w:rPr>
          <w:rFonts w:ascii="Arial" w:hAnsi="Arial" w:cs="Arial"/>
        </w:rPr>
        <w:fldChar w:fldCharType="begin"/>
      </w:r>
      <w:r>
        <w:rPr>
          <w:rFonts w:ascii="Arial" w:hAnsi="Arial" w:cs="Arial"/>
        </w:rPr>
        <w:instrText xml:space="preserve"> HYPERLINK "http://www.rondonopolis.mt.gov.br/"</w:instrText>
      </w:r>
      <w:r>
        <w:rPr>
          <w:rFonts w:ascii="Arial" w:hAnsi="Arial" w:cs="Arial"/>
        </w:rPr>
        <w:fldChar w:fldCharType="separate"/>
      </w:r>
      <w:r>
        <w:rPr>
          <w:rStyle w:val="900"/>
          <w:rFonts w:ascii="Arial" w:hAnsi="Arial" w:cs="Arial"/>
          <w:b/>
        </w:rPr>
        <w:t xml:space="preserve">www.rondonopolis.mt.gov.br</w:t>
      </w:r>
      <w:r>
        <w:rPr>
          <w:rFonts w:ascii="Arial" w:hAnsi="Arial" w:cs="Arial"/>
        </w:rPr>
        <w:fldChar w:fldCharType="end"/>
      </w:r>
      <w:r>
        <w:rPr>
          <w:rFonts w:ascii="Arial" w:hAnsi="Arial" w:cs="Arial"/>
        </w:rPr>
        <w:t xml:space="preserve">, e também poderão ser lidos e/ou obtidos em dias úteis, no endereço e horário indicado no preambulo deste edital; no mesmo endereço e período no qual os autos do processo administrativo permanecerão com vist</w:t>
      </w:r>
      <w:r>
        <w:rPr>
          <w:rFonts w:ascii="Arial" w:hAnsi="Arial" w:cs="Arial"/>
        </w:rPr>
        <w:t xml:space="preserve">a franqueada aos interessados.</w:t>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color w:val="000000"/>
        </w:rPr>
      </w:pPr>
      <w:r>
        <w:rPr>
          <w:rFonts w:ascii="Arial" w:hAnsi="Arial" w:cs="Arial"/>
          <w:b/>
        </w:rPr>
        <w:t xml:space="preserve">31</w:t>
      </w:r>
      <w:r>
        <w:rPr>
          <w:rFonts w:ascii="Arial" w:hAnsi="Arial" w:cs="Arial"/>
          <w:b/>
          <w:color w:val="000000"/>
        </w:rPr>
        <w:t xml:space="preserve">.13.</w:t>
      </w:r>
      <w:r>
        <w:rPr>
          <w:rFonts w:ascii="Arial" w:hAnsi="Arial" w:cs="Arial"/>
          <w:color w:val="000000"/>
        </w:rPr>
        <w:t xml:space="preserve"> Para dirimir as questões oriundas do presente Edital, não resolvidas na esfera administrativa, é competente o Foro da Comarca de Rondonópolis, por mais privilegiado que outro seja.</w:t>
      </w:r>
      <w:r>
        <w:rPr>
          <w:rFonts w:ascii="Arial" w:hAnsi="Arial" w:cs="Arial"/>
          <w:color w:val="000000"/>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9"/>
        <w:pBdr/>
        <w:spacing w:after="0" w:before="0"/>
        <w:ind/>
        <w:rPr>
          <w:sz w:val="20"/>
          <w:szCs w:val="20"/>
          <w:lang w:val="pt-BR"/>
        </w:rPr>
      </w:pPr>
      <w:r>
        <w:rPr>
          <w:rFonts w:eastAsia="SimSun"/>
          <w:sz w:val="20"/>
          <w:szCs w:val="20"/>
          <w:lang w:val="pt-BR"/>
        </w:rPr>
        <w:t xml:space="preserve">3</w:t>
      </w:r>
      <w:r>
        <w:rPr>
          <w:rFonts w:eastAsia="SimSun"/>
          <w:sz w:val="20"/>
          <w:szCs w:val="20"/>
          <w:lang w:val="pt-BR"/>
        </w:rPr>
        <w:t xml:space="preserve">2</w:t>
      </w:r>
      <w:r>
        <w:rPr>
          <w:rFonts w:eastAsia="SimSun"/>
          <w:sz w:val="20"/>
          <w:szCs w:val="20"/>
          <w:lang w:val="pt-BR"/>
        </w:rPr>
        <w:t xml:space="preserve">. INTEGRAM ESTE EDITAL, PARA TODOS OS FINS E EFEITOS, OS SEGUINTES ANEXOS:</w:t>
      </w:r>
      <w:r>
        <w:rPr>
          <w:rFonts w:eastAsia="SimSun"/>
          <w:sz w:val="20"/>
          <w:szCs w:val="20"/>
          <w:lang w:val="pt-BR"/>
        </w:rPr>
        <w:t xml:space="preserve"> </w:t>
      </w:r>
      <w:r>
        <w:rPr>
          <w:sz w:val="20"/>
          <w:szCs w:val="20"/>
          <w:lang w:val="pt-BR"/>
        </w:rPr>
      </w:r>
      <w:r>
        <w:rPr>
          <w:sz w:val="20"/>
          <w:szCs w:val="20"/>
          <w:lang w:val="pt-BR"/>
        </w:rPr>
      </w:r>
    </w:p>
    <w:p>
      <w:pPr>
        <w:pStyle w:val="828"/>
        <w:pBdr/>
        <w:spacing/>
        <w:ind w:left="284"/>
        <w:jc w:val="both"/>
        <w:rPr>
          <w:rFonts w:ascii="Arial" w:hAnsi="Arial" w:eastAsia="SimSun" w:cs="Arial"/>
          <w:b/>
          <w:color w:val="ff0000"/>
        </w:rPr>
      </w:pPr>
      <w:r>
        <w:rPr>
          <w:rFonts w:ascii="Arial" w:hAnsi="Arial" w:eastAsia="SimSun" w:cs="Arial"/>
          <w:b/>
          <w:color w:val="ff0000"/>
        </w:rPr>
      </w:r>
      <w:r>
        <w:rPr>
          <w:rFonts w:ascii="Arial" w:hAnsi="Arial" w:eastAsia="SimSun" w:cs="Arial"/>
          <w:b/>
          <w:color w:val="ff0000"/>
        </w:rPr>
      </w:r>
    </w:p>
    <w:p>
      <w:pPr>
        <w:pStyle w:val="828"/>
        <w:pBdr/>
        <w:spacing/>
        <w:ind w:left="284"/>
        <w:jc w:val="both"/>
        <w:rPr>
          <w:rFonts w:ascii="Arial" w:hAnsi="Arial" w:cs="Arial"/>
          <w:color w:val="ff0000"/>
        </w:rPr>
      </w:pPr>
      <w:r>
        <w:rPr>
          <w:rFonts w:ascii="Arial" w:hAnsi="Arial" w:cs="Arial"/>
          <w:b/>
          <w:color w:val="ff0000"/>
          <w:highlight w:val="yellow"/>
        </w:rPr>
        <w:t xml:space="preserve">3</w:t>
      </w:r>
      <w:r>
        <w:rPr>
          <w:rFonts w:ascii="Arial" w:hAnsi="Arial" w:cs="Arial"/>
          <w:b/>
          <w:color w:val="ff0000"/>
          <w:highlight w:val="yellow"/>
        </w:rPr>
        <w:t xml:space="preserve">2</w:t>
      </w:r>
      <w:r>
        <w:rPr>
          <w:rFonts w:ascii="Arial" w:hAnsi="Arial" w:cs="Arial"/>
          <w:b/>
          <w:color w:val="ff0000"/>
          <w:highlight w:val="yellow"/>
        </w:rPr>
        <w:t xml:space="preserve">.1.</w:t>
      </w:r>
      <w:r>
        <w:rPr>
          <w:rFonts w:ascii="Arial" w:hAnsi="Arial" w:cs="Arial"/>
          <w:color w:val="ff0000"/>
          <w:highlight w:val="yellow"/>
        </w:rPr>
        <w:t xml:space="preserve"> ANEXO I</w:t>
      </w:r>
      <w:r>
        <w:rPr>
          <w:rFonts w:ascii="Arial" w:hAnsi="Arial" w:cs="Arial"/>
          <w:color w:val="ff0000"/>
          <w:highlight w:val="yellow"/>
        </w:rPr>
        <w:t xml:space="preserve"> </w:t>
      </w:r>
      <w:r>
        <w:rPr>
          <w:rFonts w:ascii="Arial" w:hAnsi="Arial" w:cs="Arial"/>
          <w:color w:val="ff0000"/>
          <w:highlight w:val="yellow"/>
        </w:rPr>
        <w:t xml:space="preserve">–</w:t>
      </w:r>
      <w:r>
        <w:rPr>
          <w:rFonts w:ascii="Arial" w:hAnsi="Arial" w:cs="Arial"/>
          <w:color w:val="ff0000"/>
        </w:rPr>
        <w:t xml:space="preserve"> </w:t>
      </w:r>
      <w:r>
        <w:rPr>
          <w:rFonts w:ascii="Arial" w:hAnsi="Arial" w:eastAsia="SimSun" w:cs="Arial"/>
          <w:b/>
        </w:rPr>
        <w:t xml:space="preserve">TERMO DE REFERÊNCIA;</w:t>
      </w:r>
      <w:r>
        <w:rPr>
          <w:rFonts w:ascii="Arial" w:hAnsi="Arial" w:cs="Arial"/>
          <w:color w:val="ff0000"/>
        </w:rPr>
      </w:r>
      <w:r>
        <w:rPr>
          <w:rFonts w:ascii="Arial" w:hAnsi="Arial" w:cs="Arial"/>
          <w:color w:val="ff0000"/>
        </w:rPr>
      </w:r>
    </w:p>
    <w:p>
      <w:pPr>
        <w:pStyle w:val="828"/>
        <w:pBdr/>
        <w:spacing/>
        <w:ind w:left="284"/>
        <w:jc w:val="both"/>
        <w:rPr>
          <w:rFonts w:ascii="Arial" w:hAnsi="Arial" w:eastAsia="SimSun" w:cs="Arial"/>
          <w:b/>
        </w:rPr>
      </w:pPr>
      <w:r>
        <w:rPr>
          <w:rFonts w:ascii="Arial" w:hAnsi="Arial" w:eastAsia="SimSun" w:cs="Arial"/>
          <w:b/>
        </w:rPr>
      </w:r>
      <w:r>
        <w:rPr>
          <w:rFonts w:ascii="Arial" w:hAnsi="Arial" w:eastAsia="SimSun" w:cs="Arial"/>
          <w:b/>
        </w:rPr>
      </w:r>
    </w:p>
    <w:p>
      <w:pPr>
        <w:pStyle w:val="828"/>
        <w:pBdr/>
        <w:spacing/>
        <w:ind w:left="284"/>
        <w:jc w:val="both"/>
        <w:rPr>
          <w:rFonts w:ascii="Arial" w:hAnsi="Arial" w:cs="Arial"/>
        </w:rPr>
      </w:pPr>
      <w:r>
        <w:rPr>
          <w:rFonts w:ascii="Arial" w:hAnsi="Arial" w:cs="Arial"/>
          <w:b/>
        </w:rPr>
        <w:t xml:space="preserve">32</w:t>
      </w:r>
      <w:r>
        <w:rPr>
          <w:rFonts w:ascii="Arial" w:hAnsi="Arial" w:eastAsia="SimSun" w:cs="Arial"/>
          <w:b/>
        </w:rPr>
        <w:t xml:space="preserve">.2. </w:t>
      </w:r>
      <w:r>
        <w:rPr>
          <w:rFonts w:ascii="Arial" w:hAnsi="Arial" w:cs="Arial"/>
        </w:rPr>
        <w:t xml:space="preserve">ANEXO II - </w:t>
      </w:r>
      <w:r>
        <w:rPr>
          <w:rFonts w:ascii="Arial" w:hAnsi="Arial" w:cs="Arial"/>
          <w:b/>
        </w:rPr>
        <w:t xml:space="preserve">MINUTA DA ATA DE REGISTRO DE PREÇOS</w:t>
      </w:r>
      <w:r>
        <w:rPr>
          <w:rFonts w:ascii="Arial" w:hAnsi="Arial" w:eastAsia="SimSun" w:cs="Arial"/>
          <w:b/>
        </w:rPr>
        <w:t xml:space="preserve">;</w:t>
      </w: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32</w:t>
      </w:r>
      <w:r>
        <w:rPr>
          <w:rFonts w:ascii="Arial" w:hAnsi="Arial" w:cs="Arial"/>
          <w:b/>
        </w:rPr>
        <w:t xml:space="preserve">.</w:t>
      </w:r>
      <w:r>
        <w:rPr>
          <w:rFonts w:ascii="Arial" w:hAnsi="Arial" w:cs="Arial"/>
          <w:b/>
        </w:rPr>
        <w:t xml:space="preserve">2.</w:t>
      </w:r>
      <w:r>
        <w:rPr>
          <w:rFonts w:ascii="Arial" w:hAnsi="Arial" w:cs="Arial"/>
        </w:rPr>
        <w:t xml:space="preserve"> ANEXO II</w:t>
      </w:r>
      <w:r>
        <w:rPr>
          <w:rFonts w:ascii="Arial" w:hAnsi="Arial" w:cs="Arial"/>
        </w:rPr>
        <w:t xml:space="preserve">I</w:t>
      </w:r>
      <w:r>
        <w:rPr>
          <w:rFonts w:ascii="Arial" w:hAnsi="Arial" w:cs="Arial"/>
        </w:rPr>
        <w:t xml:space="preserve"> – </w:t>
      </w:r>
      <w:r>
        <w:rPr>
          <w:rFonts w:ascii="Arial" w:hAnsi="Arial" w:cs="Arial"/>
          <w:b/>
        </w:rPr>
        <w:t xml:space="preserve">MINUTA DO CONTRATO;</w:t>
      </w:r>
      <w:r>
        <w:rPr>
          <w:rFonts w:ascii="Arial" w:hAnsi="Arial" w:cs="Arial"/>
        </w:rPr>
      </w:r>
      <w:r>
        <w:rPr>
          <w:rFonts w:ascii="Arial" w:hAnsi="Arial" w:cs="Arial"/>
        </w:rPr>
      </w:r>
    </w:p>
    <w:p>
      <w:pPr>
        <w:pStyle w:val="828"/>
        <w:pBdr/>
        <w:spacing/>
        <w:ind w:left="284"/>
        <w:jc w:val="both"/>
        <w:rPr>
          <w:rFonts w:ascii="Arial" w:hAnsi="Arial" w:eastAsia="SimSun" w:cs="Arial"/>
          <w:b/>
        </w:rPr>
      </w:pPr>
      <w:r>
        <w:rPr>
          <w:rFonts w:ascii="Arial" w:hAnsi="Arial" w:eastAsia="SimSun" w:cs="Arial"/>
          <w:b/>
        </w:rPr>
      </w:r>
      <w:r>
        <w:rPr>
          <w:rFonts w:ascii="Arial" w:hAnsi="Arial" w:eastAsia="SimSun" w:cs="Arial"/>
          <w:b/>
        </w:rPr>
      </w:r>
    </w:p>
    <w:p>
      <w:pPr>
        <w:pStyle w:val="828"/>
        <w:pBdr/>
        <w:spacing/>
        <w:ind w:left="284"/>
        <w:jc w:val="both"/>
        <w:rPr>
          <w:rFonts w:ascii="Arial" w:hAnsi="Arial" w:cs="Arial"/>
        </w:rPr>
      </w:pPr>
      <w:r>
        <w:rPr>
          <w:rFonts w:ascii="Arial" w:hAnsi="Arial" w:cs="Arial"/>
          <w:b/>
        </w:rPr>
        <w:t xml:space="preserve">32</w:t>
      </w:r>
      <w:r>
        <w:rPr>
          <w:rFonts w:ascii="Arial" w:hAnsi="Arial" w:cs="Arial"/>
          <w:b/>
        </w:rPr>
        <w:t xml:space="preserve">.3</w:t>
      </w:r>
      <w:r>
        <w:rPr>
          <w:rFonts w:ascii="Arial" w:hAnsi="Arial" w:cs="Arial"/>
          <w:b/>
        </w:rPr>
        <w:t xml:space="preserve">.</w:t>
      </w:r>
      <w:r>
        <w:rPr>
          <w:rFonts w:ascii="Arial" w:hAnsi="Arial" w:cs="Arial"/>
        </w:rPr>
        <w:t xml:space="preserve"> ANEXO </w:t>
      </w:r>
      <w:r>
        <w:rPr>
          <w:rFonts w:ascii="Arial" w:hAnsi="Arial" w:cs="Arial"/>
        </w:rPr>
        <w:t xml:space="preserve">IV</w:t>
      </w:r>
      <w:r>
        <w:rPr>
          <w:rFonts w:ascii="Arial" w:hAnsi="Arial" w:cs="Arial"/>
        </w:rPr>
        <w:t xml:space="preserve"> – </w:t>
      </w:r>
      <w:r>
        <w:rPr>
          <w:rFonts w:ascii="Arial" w:hAnsi="Arial" w:cs="Arial"/>
          <w:b/>
          <w:bCs/>
        </w:rPr>
        <w:t xml:space="preserve">MODELO DE PROPOSTA COMERCIAL</w:t>
      </w:r>
      <w:r>
        <w:rPr>
          <w:rFonts w:ascii="Arial" w:hAnsi="Arial" w:cs="Arial"/>
          <w:b/>
        </w:rPr>
        <w:t xml:space="preserve">;</w:t>
      </w: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32</w:t>
      </w:r>
      <w:r>
        <w:rPr>
          <w:rFonts w:ascii="Arial" w:hAnsi="Arial" w:cs="Arial"/>
          <w:b/>
        </w:rPr>
        <w:t xml:space="preserve">.4</w:t>
      </w:r>
      <w:r>
        <w:rPr>
          <w:rFonts w:ascii="Arial" w:hAnsi="Arial" w:cs="Arial"/>
          <w:b/>
        </w:rPr>
        <w:t xml:space="preserve">.</w:t>
      </w:r>
      <w:r>
        <w:rPr>
          <w:rFonts w:ascii="Arial" w:hAnsi="Arial" w:cs="Arial"/>
        </w:rPr>
        <w:t xml:space="preserve"> ANEXO </w:t>
      </w:r>
      <w:r>
        <w:rPr>
          <w:rFonts w:ascii="Arial" w:hAnsi="Arial" w:cs="Arial"/>
        </w:rPr>
        <w:t xml:space="preserve">V</w:t>
      </w:r>
      <w:r>
        <w:rPr>
          <w:rFonts w:ascii="Arial" w:hAnsi="Arial" w:cs="Arial"/>
        </w:rPr>
        <w:t xml:space="preserve"> – </w:t>
      </w:r>
      <w:r>
        <w:rPr>
          <w:rFonts w:ascii="Arial" w:hAnsi="Arial" w:cs="Arial"/>
          <w:b/>
        </w:rPr>
        <w:t xml:space="preserve">MODELO DE DECLA</w:t>
      </w:r>
      <w:r>
        <w:rPr>
          <w:rFonts w:ascii="Arial" w:hAnsi="Arial" w:cs="Arial"/>
          <w:b/>
        </w:rPr>
        <w:t xml:space="preserve">RAÇÕES (HABILITAÇÃO)</w:t>
      </w:r>
      <w:r>
        <w:rPr>
          <w:rFonts w:ascii="Arial" w:hAnsi="Arial" w:cs="Arial"/>
        </w:rPr>
        <w:t xml:space="preserve">;</w:t>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rPr>
      </w:pPr>
      <w:r>
        <w:rPr>
          <w:rFonts w:ascii="Arial" w:hAnsi="Arial" w:cs="Arial"/>
          <w:b/>
        </w:rPr>
        <w:t xml:space="preserve">32</w:t>
      </w:r>
      <w:r>
        <w:rPr>
          <w:rFonts w:ascii="Arial" w:hAnsi="Arial" w:cs="Arial"/>
          <w:b/>
        </w:rPr>
        <w:t xml:space="preserve">.5</w:t>
      </w:r>
      <w:r>
        <w:rPr>
          <w:rFonts w:ascii="Arial" w:hAnsi="Arial" w:cs="Arial"/>
          <w:b/>
        </w:rPr>
        <w:t xml:space="preserve">.</w:t>
      </w:r>
      <w:r>
        <w:rPr>
          <w:rFonts w:ascii="Arial" w:hAnsi="Arial" w:cs="Arial"/>
        </w:rPr>
        <w:t xml:space="preserve"> ANEXO </w:t>
      </w:r>
      <w:r>
        <w:rPr>
          <w:rFonts w:ascii="Arial" w:hAnsi="Arial" w:cs="Arial"/>
        </w:rPr>
        <w:t xml:space="preserve">V</w:t>
      </w:r>
      <w:r>
        <w:rPr>
          <w:rFonts w:ascii="Arial" w:hAnsi="Arial" w:cs="Arial"/>
        </w:rPr>
        <w:t xml:space="preserve">I</w:t>
      </w:r>
      <w:r>
        <w:rPr>
          <w:rFonts w:ascii="Arial" w:hAnsi="Arial" w:cs="Arial"/>
        </w:rPr>
        <w:t xml:space="preserve"> – </w:t>
      </w:r>
      <w:r>
        <w:rPr>
          <w:rFonts w:ascii="Arial" w:hAnsi="Arial" w:cs="Arial"/>
          <w:b/>
        </w:rPr>
        <w:t xml:space="preserve">MODELO DE DECLARAÇÃO (PARA ME E EPP);</w:t>
      </w: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rPr>
      </w:r>
      <w:r>
        <w:rPr>
          <w:rFonts w:ascii="Arial" w:hAnsi="Arial" w:cs="Arial"/>
        </w:rPr>
      </w:r>
    </w:p>
    <w:p>
      <w:pPr>
        <w:pStyle w:val="828"/>
        <w:pBdr/>
        <w:spacing/>
        <w:ind w:left="284"/>
        <w:jc w:val="both"/>
        <w:rPr>
          <w:rFonts w:ascii="Arial" w:hAnsi="Arial" w:cs="Arial"/>
        </w:rPr>
      </w:pPr>
      <w:r>
        <w:rPr>
          <w:rFonts w:ascii="Arial" w:hAnsi="Arial" w:cs="Arial"/>
          <w:b/>
        </w:rPr>
        <w:t xml:space="preserve">32</w:t>
      </w:r>
      <w:r>
        <w:rPr>
          <w:rFonts w:ascii="Arial" w:hAnsi="Arial" w:cs="Arial"/>
          <w:b/>
        </w:rPr>
        <w:t xml:space="preserve">.6</w:t>
      </w:r>
      <w:r>
        <w:rPr>
          <w:rFonts w:ascii="Arial" w:hAnsi="Arial" w:cs="Arial"/>
          <w:b/>
        </w:rPr>
        <w:t xml:space="preserve">.</w:t>
      </w:r>
      <w:r>
        <w:rPr>
          <w:rFonts w:ascii="Arial" w:hAnsi="Arial" w:cs="Arial"/>
        </w:rPr>
        <w:t xml:space="preserve"> ANEXO V</w:t>
      </w:r>
      <w:r>
        <w:rPr>
          <w:rFonts w:ascii="Arial" w:hAnsi="Arial" w:cs="Arial"/>
        </w:rPr>
        <w:t xml:space="preserve">I</w:t>
      </w:r>
      <w:r>
        <w:rPr>
          <w:rFonts w:ascii="Arial" w:hAnsi="Arial" w:cs="Arial"/>
        </w:rPr>
        <w:t xml:space="preserve">I</w:t>
      </w:r>
      <w:r>
        <w:rPr>
          <w:rFonts w:ascii="Arial" w:hAnsi="Arial" w:cs="Arial"/>
        </w:rPr>
        <w:t xml:space="preserve"> – </w:t>
      </w:r>
      <w:r>
        <w:rPr>
          <w:rFonts w:ascii="Arial" w:hAnsi="Arial" w:cs="Arial"/>
          <w:b/>
        </w:rPr>
        <w:t xml:space="preserve">FICHA DE ATUALIZAÇÃO CADASTRAL;</w:t>
      </w:r>
      <w:r>
        <w:rPr>
          <w:rFonts w:ascii="Arial" w:hAnsi="Arial" w:cs="Arial"/>
        </w:rPr>
      </w:r>
      <w:r>
        <w:rPr>
          <w:rFonts w:ascii="Arial" w:hAnsi="Arial" w:cs="Arial"/>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left="284"/>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eastAsia="SimSun" w:cs="Arial"/>
          <w:b/>
        </w:rPr>
      </w:pPr>
      <w:r>
        <w:rPr>
          <w:rFonts w:ascii="Arial" w:hAnsi="Arial" w:eastAsia="SimSun" w:cs="Arial"/>
          <w:b/>
        </w:rPr>
      </w:r>
      <w:r>
        <w:rPr>
          <w:rFonts w:ascii="Arial" w:hAnsi="Arial" w:eastAsia="SimSun" w:cs="Arial"/>
          <w:b/>
        </w:rPr>
      </w:r>
    </w:p>
    <w:p>
      <w:pPr>
        <w:pStyle w:val="828"/>
        <w:pBdr/>
        <w:tabs>
          <w:tab w:val="right" w:leader="none" w:pos="10066"/>
        </w:tabs>
        <w:spacing/>
        <w:ind/>
        <w:rPr>
          <w:rFonts w:ascii="Arial" w:hAnsi="Arial" w:cs="Arial"/>
        </w:rPr>
      </w:pPr>
      <w:r>
        <w:rPr>
          <w:rFonts w:ascii="Arial" w:hAnsi="Arial" w:cs="Arial"/>
        </w:rPr>
        <w:tab/>
      </w:r>
      <w:r>
        <w:rPr>
          <w:rFonts w:ascii="Arial" w:hAnsi="Arial" w:cs="Arial"/>
          <w:highlight w:val="yellow"/>
        </w:rPr>
        <w:t xml:space="preserve">Rondonópolis-MT, </w:t>
      </w:r>
      <w:r>
        <w:rPr>
          <w:rFonts w:ascii="Arial" w:hAnsi="Arial" w:cs="Arial"/>
          <w:highlight w:val="yellow"/>
        </w:rPr>
        <w:t xml:space="preserve">14</w:t>
      </w:r>
      <w:r>
        <w:rPr>
          <w:rFonts w:ascii="Arial" w:hAnsi="Arial" w:cs="Arial"/>
          <w:highlight w:val="yellow"/>
        </w:rPr>
        <w:t xml:space="preserve"> de </w:t>
      </w:r>
      <w:r>
        <w:rPr>
          <w:rFonts w:ascii="Arial" w:hAnsi="Arial" w:cs="Arial"/>
          <w:highlight w:val="yellow"/>
        </w:rPr>
        <w:t xml:space="preserve">abril</w:t>
      </w:r>
      <w:r>
        <w:rPr>
          <w:rFonts w:ascii="Arial" w:hAnsi="Arial" w:cs="Arial"/>
          <w:highlight w:val="yellow"/>
        </w:rPr>
        <w:t xml:space="preserve"> de 2026</w:t>
      </w:r>
      <w:r>
        <w:rPr>
          <w:rFonts w:ascii="Arial" w:hAnsi="Arial" w:cs="Arial"/>
          <w:highlight w:val="yellow"/>
        </w:rPr>
        <w:t xml:space="preserve">.</w:t>
      </w:r>
      <w:r>
        <w:rPr>
          <w:rFonts w:ascii="Arial" w:hAnsi="Arial" w:cs="Arial"/>
        </w:rPr>
      </w:r>
      <w:r>
        <w:rPr>
          <w:rFonts w:ascii="Arial" w:hAnsi="Arial" w:cs="Arial"/>
        </w:rPr>
      </w:r>
    </w:p>
    <w:p>
      <w:pPr>
        <w:pStyle w:val="828"/>
        <w:pBdr/>
        <w:tabs>
          <w:tab w:val="right" w:leader="none" w:pos="9072"/>
        </w:tabs>
        <w:spacing/>
        <w:ind/>
        <w:jc w:val="center"/>
        <w:rPr>
          <w:rFonts w:ascii="Arial" w:hAnsi="Arial" w:cs="Arial"/>
          <w:b/>
        </w:rPr>
      </w:pPr>
      <w:r>
        <w:rPr>
          <w:rFonts w:ascii="Arial" w:hAnsi="Arial" w:cs="Arial"/>
          <w:b/>
        </w:rPr>
      </w:r>
      <w:r>
        <w:rPr>
          <w:rFonts w:ascii="Arial" w:hAnsi="Arial" w:cs="Arial"/>
          <w:b/>
        </w:rPr>
      </w:r>
    </w:p>
    <w:p>
      <w:pPr>
        <w:pStyle w:val="828"/>
        <w:pBdr/>
        <w:tabs>
          <w:tab w:val="right" w:leader="none" w:pos="9072"/>
        </w:tabs>
        <w:spacing/>
        <w:ind/>
        <w:rPr>
          <w:rFonts w:ascii="Arial" w:hAnsi="Arial" w:cs="Arial"/>
          <w:b/>
        </w:rPr>
      </w:pPr>
      <w:r>
        <w:rPr>
          <w:rFonts w:ascii="Arial" w:hAnsi="Arial" w:cs="Arial"/>
          <w:b/>
        </w:rPr>
      </w:r>
      <w:r>
        <w:rPr>
          <w:rFonts w:ascii="Arial" w:hAnsi="Arial" w:cs="Arial"/>
          <w:b/>
        </w:rPr>
      </w:r>
    </w:p>
    <w:p>
      <w:pPr>
        <w:pStyle w:val="828"/>
        <w:pBdr/>
        <w:tabs>
          <w:tab w:val="right" w:leader="none" w:pos="9072"/>
        </w:tabs>
        <w:spacing/>
        <w:ind/>
        <w:rPr>
          <w:rFonts w:ascii="Arial" w:hAnsi="Arial" w:cs="Arial"/>
          <w:b/>
        </w:rPr>
      </w:pPr>
      <w:r>
        <w:rPr>
          <w:rFonts w:ascii="Arial" w:hAnsi="Arial" w:cs="Arial"/>
          <w:b/>
        </w:rPr>
      </w:r>
      <w:r>
        <w:rPr>
          <w:rFonts w:ascii="Arial" w:hAnsi="Arial" w:cs="Arial"/>
          <w:b/>
        </w:rPr>
      </w:r>
    </w:p>
    <w:p>
      <w:pPr>
        <w:pStyle w:val="828"/>
        <w:pBdr/>
        <w:tabs>
          <w:tab w:val="right" w:leader="none" w:pos="9072"/>
        </w:tabs>
        <w:spacing/>
        <w:ind/>
        <w:jc w:val="center"/>
        <w:rPr>
          <w:rFonts w:ascii="Arial" w:hAnsi="Arial" w:cs="Arial"/>
          <w:b/>
        </w:rPr>
      </w:pPr>
      <w:r>
        <w:rPr>
          <w:rFonts w:ascii="Arial" w:hAnsi="Arial" w:cs="Arial"/>
          <w:b/>
        </w:rPr>
        <w:t xml:space="preserve">RAFAELLY PRISCILA REZENDE DE ALMEIDA </w:t>
      </w:r>
      <w:r>
        <w:rPr>
          <w:rFonts w:ascii="Arial" w:hAnsi="Arial" w:cs="Arial"/>
          <w:b/>
        </w:rPr>
      </w:r>
    </w:p>
    <w:p>
      <w:pPr>
        <w:pStyle w:val="828"/>
        <w:pBdr/>
        <w:tabs>
          <w:tab w:val="right" w:leader="none" w:pos="9072"/>
        </w:tabs>
        <w:spacing/>
        <w:ind/>
        <w:jc w:val="center"/>
        <w:rPr>
          <w:rFonts w:ascii="Arial" w:hAnsi="Arial" w:cs="Arial"/>
        </w:rPr>
      </w:pPr>
      <w:r>
        <w:rPr>
          <w:rFonts w:ascii="Arial" w:hAnsi="Arial" w:cs="Arial"/>
        </w:rPr>
        <w:t xml:space="preserve">Superintendente do Departamento de Compras</w:t>
      </w:r>
      <w:r>
        <w:rPr>
          <w:rFonts w:ascii="Arial" w:hAnsi="Arial" w:cs="Arial"/>
        </w:rPr>
      </w:r>
    </w:p>
    <w:p>
      <w:pPr>
        <w:pStyle w:val="828"/>
        <w:pBdr/>
        <w:tabs>
          <w:tab w:val="right" w:leader="none" w:pos="9072"/>
        </w:tabs>
        <w:spacing/>
        <w:ind/>
        <w:jc w:val="center"/>
        <w:rPr>
          <w:rFonts w:ascii="Arial" w:hAnsi="Arial" w:cs="Arial"/>
        </w:rPr>
      </w:pPr>
      <w:r>
        <w:rPr>
          <w:rFonts w:ascii="Arial" w:hAnsi="Arial" w:cs="Arial"/>
        </w:rPr>
        <w:t xml:space="preserve">Email: </w:t>
      </w:r>
      <w:r>
        <w:rPr>
          <w:rFonts w:ascii="Arial" w:hAnsi="Arial" w:cs="Arial"/>
        </w:rPr>
        <w:fldChar w:fldCharType="begin"/>
      </w:r>
      <w:r>
        <w:rPr>
          <w:rFonts w:ascii="Arial" w:hAnsi="Arial" w:cs="Arial"/>
        </w:rPr>
        <w:instrText xml:space="preserve"> HYPERLINK "mailto:pmrroo@hotmail.com"</w:instrText>
      </w:r>
      <w:r>
        <w:rPr>
          <w:rFonts w:ascii="Arial" w:hAnsi="Arial" w:cs="Arial"/>
        </w:rPr>
        <w:fldChar w:fldCharType="separate"/>
      </w:r>
      <w:r>
        <w:rPr>
          <w:rStyle w:val="900"/>
          <w:rFonts w:ascii="Arial" w:hAnsi="Arial" w:cs="Arial"/>
          <w:b/>
          <w:color w:val="000000"/>
        </w:rPr>
        <w:t xml:space="preserve">pmrroo@hotmail.com</w:t>
      </w:r>
      <w:r>
        <w:rPr>
          <w:rFonts w:ascii="Arial" w:hAnsi="Arial" w:cs="Arial"/>
        </w:rPr>
        <w:fldChar w:fldCharType="end"/>
      </w:r>
      <w:r>
        <w:rPr>
          <w:rFonts w:ascii="Arial" w:hAnsi="Arial" w:cs="Arial"/>
        </w:rPr>
        <w:t xml:space="preserve"> </w:t>
      </w:r>
      <w:r>
        <w:rPr>
          <w:rFonts w:ascii="Arial" w:hAnsi="Arial" w:cs="Arial"/>
        </w:rPr>
      </w:r>
    </w:p>
    <w:p>
      <w:pPr>
        <w:pStyle w:val="828"/>
        <w:pBdr/>
        <w:tabs>
          <w:tab w:val="right" w:leader="none" w:pos="9072"/>
        </w:tabs>
        <w:spacing/>
        <w:ind/>
        <w:jc w:val="center"/>
        <w:rPr>
          <w:rFonts w:ascii="Arial" w:hAnsi="Arial" w:cs="Arial"/>
        </w:rPr>
      </w:pPr>
      <w:r>
        <w:rPr>
          <w:rFonts w:ascii="Arial" w:hAnsi="Arial" w:cs="Arial"/>
        </w:rPr>
      </w:r>
      <w:r>
        <w:rPr>
          <w:rFonts w:ascii="Arial" w:hAnsi="Arial" w:cs="Arial"/>
        </w:rPr>
      </w:r>
    </w:p>
    <w:p>
      <w:pPr>
        <w:pStyle w:val="828"/>
        <w:pBdr/>
        <w:tabs>
          <w:tab w:val="right" w:leader="none" w:pos="9072"/>
        </w:tabs>
        <w:spacing/>
        <w:ind/>
        <w:rPr>
          <w:rFonts w:ascii="Arial" w:hAnsi="Arial" w:cs="Arial"/>
        </w:rPr>
      </w:pPr>
      <w:r>
        <w:rPr>
          <w:rFonts w:ascii="Arial" w:hAnsi="Arial" w:cs="Arial"/>
        </w:rPr>
      </w:r>
      <w:r>
        <w:rPr>
          <w:rFonts w:ascii="Arial" w:hAnsi="Arial" w:cs="Arial"/>
        </w:rPr>
      </w:r>
    </w:p>
    <w:p>
      <w:pPr>
        <w:pStyle w:val="828"/>
        <w:pBdr/>
        <w:tabs>
          <w:tab w:val="right" w:leader="none" w:pos="9072"/>
        </w:tabs>
        <w:spacing/>
        <w:ind/>
        <w:rPr>
          <w:rFonts w:ascii="Arial" w:hAnsi="Arial" w:cs="Arial"/>
        </w:rPr>
      </w:pPr>
      <w:r>
        <w:rPr>
          <w:rFonts w:ascii="Arial" w:hAnsi="Arial" w:cs="Arial"/>
        </w:rPr>
        <w:br w:type="page" w:clear="all"/>
      </w:r>
      <w:r>
        <w:rPr>
          <w:rFonts w:ascii="Arial" w:hAnsi="Arial" w:cs="Arial"/>
        </w:rPr>
      </w:r>
      <w:r>
        <w:rPr>
          <w:rFonts w:ascii="Arial" w:hAnsi="Arial" w:cs="Arial"/>
        </w:rPr>
      </w:r>
    </w:p>
    <w:p>
      <w:pPr>
        <w:pStyle w:val="828"/>
        <w:pBdr/>
        <w:tabs>
          <w:tab w:val="right" w:leader="none" w:pos="9072"/>
        </w:tabs>
        <w:spacing/>
        <w:ind/>
        <w:rPr>
          <w:rFonts w:ascii="Arial" w:hAnsi="Arial" w:cs="Arial"/>
        </w:rPr>
      </w:pPr>
      <w:r>
        <w:rPr>
          <w:rFonts w:ascii="Arial" w:hAnsi="Arial" w:cs="Arial"/>
        </w:rPr>
      </w:r>
      <w:r>
        <w:rPr>
          <w:rFonts w:ascii="Arial" w:hAnsi="Arial" w:cs="Arial"/>
        </w:rPr>
      </w:r>
    </w:p>
    <w:p>
      <w:pPr>
        <w:pStyle w:val="828"/>
        <w:pBdr/>
        <w:tabs>
          <w:tab w:val="right" w:leader="none" w:pos="9072"/>
        </w:tabs>
        <w:spacing/>
        <w:ind/>
        <w:rPr>
          <w:rFonts w:ascii="Arial" w:hAnsi="Arial" w:cs="Arial"/>
        </w:rPr>
      </w:pPr>
      <w:r>
        <w:rPr>
          <w:rFonts w:ascii="Arial" w:hAnsi="Arial" w:cs="Arial"/>
        </w:rPr>
      </w:r>
      <w:r>
        <w:rPr>
          <w:rFonts w:ascii="Arial" w:hAnsi="Arial" w:cs="Arial"/>
        </w:rPr>
      </w:r>
    </w:p>
    <w:p>
      <w:pPr>
        <w:pStyle w:val="828"/>
        <w:pBdr/>
        <w:tabs>
          <w:tab w:val="right" w:leader="none" w:pos="9072"/>
        </w:tabs>
        <w:spacing/>
        <w:ind/>
        <w:jc w:val="center"/>
        <w:rPr>
          <w:rFonts w:ascii="Arial" w:hAnsi="Arial" w:cs="Arial"/>
        </w:rPr>
      </w:pPr>
      <w:r>
        <w:rPr>
          <w:rFonts w:ascii="Arial" w:hAnsi="Arial" w:cs="Arial"/>
          <w:b/>
          <w:bCs/>
        </w:rPr>
        <w:t xml:space="preserve">ANEXO I</w:t>
      </w:r>
      <w:r>
        <w:rPr>
          <w:rFonts w:ascii="Arial" w:hAnsi="Arial" w:cs="Arial"/>
        </w:rPr>
        <w:t xml:space="preserve"> – </w:t>
      </w:r>
      <w:r>
        <w:rPr>
          <w:rFonts w:ascii="Arial" w:hAnsi="Arial" w:eastAsia="SimSun" w:cs="Arial"/>
          <w:b/>
        </w:rPr>
        <w:t xml:space="preserve">TERMO DE REFERÊNCIA;</w:t>
      </w:r>
      <w:r>
        <w:rPr>
          <w:rFonts w:ascii="Arial" w:hAnsi="Arial" w:cs="Arial"/>
        </w:rPr>
      </w:r>
      <w:r>
        <w:rPr>
          <w:rFonts w:ascii="Arial" w:hAnsi="Arial" w:cs="Arial"/>
        </w:rPr>
      </w:r>
    </w:p>
    <w:p>
      <w:pPr>
        <w:pStyle w:val="828"/>
        <w:pBdr/>
        <w:tabs>
          <w:tab w:val="right" w:leader="none" w:pos="9072"/>
        </w:tabs>
        <w:spacing/>
        <w:ind/>
        <w:rPr>
          <w:rFonts w:ascii="Arial" w:hAnsi="Arial" w:cs="Arial"/>
        </w:rPr>
      </w:pPr>
      <w:r>
        <w:rPr>
          <w:rFonts w:ascii="Arial" w:hAnsi="Arial" w:cs="Arial"/>
        </w:rPr>
      </w:r>
      <w:r>
        <w:rPr>
          <w:rFonts w:ascii="Arial" w:hAnsi="Arial" w:cs="Arial"/>
        </w:rPr>
      </w:r>
    </w:p>
    <w:p>
      <w:pPr>
        <w:pStyle w:val="828"/>
        <w:pBdr/>
        <w:tabs>
          <w:tab w:val="right" w:leader="none" w:pos="9072"/>
        </w:tabs>
        <w:spacing/>
        <w:ind/>
        <w:rPr>
          <w:rFonts w:ascii="Arial" w:hAnsi="Arial" w:cs="Arial"/>
        </w:rPr>
      </w:pPr>
      <w:r>
        <w:rPr>
          <w:rFonts w:ascii="Arial" w:hAnsi="Arial" w:cs="Arial"/>
        </w:rPr>
      </w:r>
      <w:r>
        <w:rPr>
          <w:rFonts w:ascii="Arial" w:hAnsi="Arial" w:cs="Arial"/>
        </w:rPr>
      </w:r>
    </w:p>
    <w:p>
      <w:pPr>
        <w:pStyle w:val="828"/>
        <w:pBdr/>
        <w:tabs>
          <w:tab w:val="right" w:leader="none" w:pos="9072"/>
        </w:tabs>
        <w:spacing/>
        <w:ind/>
        <w:rPr>
          <w:rFonts w:ascii="Arial" w:hAnsi="Arial" w:cs="Arial"/>
        </w:rPr>
      </w:pPr>
      <w:r>
        <w:rPr>
          <w:rFonts w:ascii="Arial" w:hAnsi="Arial" w:cs="Arial"/>
        </w:rPr>
      </w:r>
      <w:r>
        <w:rPr>
          <w:rFonts w:ascii="Arial" w:hAnsi="Arial" w:cs="Arial"/>
        </w:rPr>
      </w:r>
    </w:p>
    <w:p>
      <w:pPr>
        <w:pStyle w:val="828"/>
        <w:pBdr/>
        <w:spacing/>
        <w:ind/>
        <w:jc w:val="both"/>
        <w:rPr>
          <w:color w:val="000000"/>
        </w:rPr>
      </w:pPr>
      <w:r>
        <w:rPr>
          <w:color w:val="000000"/>
        </w:rPr>
      </w:r>
      <w:r>
        <w:rPr>
          <w:color w:val="000000"/>
        </w:rPr>
      </w:r>
    </w:p>
    <w:p>
      <w:pPr>
        <w:pStyle w:val="828"/>
        <w:pBdr/>
        <w:spacing/>
        <w:ind/>
        <w:jc w:val="both"/>
        <w:rPr/>
      </w:pPr>
      <w:r>
        <w:rPr>
          <w:b/>
          <w:bCs/>
        </w:rPr>
        <w:t xml:space="preserve">UNIDADE REQUISITANTE:</w:t>
      </w:r>
      <w:r>
        <w:t xml:space="preserve"> DEPARTAMENTO/SETOR DE ENGENHARIA</w:t>
      </w:r>
      <w:r>
        <w:rPr>
          <w:b/>
          <w:bCs/>
        </w:rPr>
        <w:t xml:space="preserve">-</w:t>
      </w:r>
      <w:r>
        <w:t xml:space="preserve"> SECRETARIA MUNICIPAL DE SAÚDE.</w:t>
      </w:r>
      <w:r/>
    </w:p>
    <w:p>
      <w:pPr>
        <w:pStyle w:val="828"/>
        <w:pBdr/>
        <w:spacing/>
        <w:ind/>
        <w:jc w:val="both"/>
        <w:rPr>
          <w:color w:val="000000"/>
          <w:highlight w:val="red"/>
        </w:rPr>
      </w:pPr>
      <w:r>
        <w:rPr>
          <w:b/>
          <w:bCs/>
        </w:rPr>
        <w:t xml:space="preserve">RESPONSÁVEL PELA EMISSÃO: </w:t>
      </w:r>
      <w:r>
        <w:rPr>
          <w:color w:val="000000"/>
        </w:rPr>
        <w:t xml:space="preserve">DÉBORA BETÂNIA DE CARVALHO SANTOS</w:t>
      </w:r>
      <w:r>
        <w:rPr>
          <w:color w:val="000000"/>
          <w:highlight w:val="red"/>
        </w:rPr>
      </w:r>
      <w:r>
        <w:rPr>
          <w:color w:val="000000"/>
          <w:highlight w:val="red"/>
        </w:rPr>
      </w:r>
    </w:p>
    <w:p>
      <w:pPr>
        <w:pStyle w:val="828"/>
        <w:pBdr/>
        <w:spacing/>
        <w:ind/>
        <w:jc w:val="both"/>
        <w:rPr>
          <w:color w:val="000000"/>
          <w:highlight w:val="yellow"/>
          <w:lang w:val="pt"/>
        </w:rPr>
      </w:pPr>
      <w:r>
        <w:rPr>
          <w:color w:val="000000"/>
          <w:highlight w:val="yellow"/>
          <w:lang w:val="pt"/>
        </w:rPr>
      </w:r>
      <w:r>
        <w:rPr>
          <w:color w:val="000000"/>
          <w:highlight w:val="yellow"/>
          <w:lang w:val="pt"/>
        </w:rPr>
      </w:r>
    </w:p>
    <w:p>
      <w:pPr>
        <w:pStyle w:val="828"/>
        <w:pBdr/>
        <w:shd w:val="clear" w:color="auto" w:fill="cccccc"/>
        <w:spacing/>
        <w:ind/>
        <w:jc w:val="both"/>
        <w:rPr/>
      </w:pPr>
      <w:r>
        <w:rPr>
          <w:b/>
          <w:bCs/>
        </w:rPr>
        <w:t xml:space="preserve">1 – OBJETO E CONDIÇÕES GERAIS DA CONTRATAÇÃO</w:t>
      </w:r>
      <w:r/>
    </w:p>
    <w:p>
      <w:pPr>
        <w:pStyle w:val="828"/>
        <w:pBdr/>
        <w:spacing/>
        <w:ind/>
        <w:jc w:val="both"/>
        <w:rPr>
          <w:b/>
          <w:bCs/>
        </w:rPr>
      </w:pPr>
      <w:r>
        <w:rPr>
          <w:b/>
          <w:bCs/>
        </w:rPr>
      </w:r>
      <w:r>
        <w:rPr>
          <w:b/>
          <w:bCs/>
        </w:rPr>
      </w:r>
    </w:p>
    <w:p>
      <w:pPr>
        <w:pStyle w:val="828"/>
        <w:widowControl w:val="false"/>
        <w:numPr>
          <w:ilvl w:val="1"/>
          <w:numId w:val="22"/>
        </w:numPr>
        <w:pBdr/>
        <w:spacing/>
        <w:ind/>
        <w:jc w:val="both"/>
        <w:rPr/>
      </w:pPr>
      <w:r>
        <w:t xml:space="preserve">O presente Termo de Referência tem por objeto a </w:t>
      </w:r>
      <w:r>
        <w:rPr>
          <w:b/>
          <w:bCs/>
        </w:rPr>
        <w:t xml:space="preserve">AQUISIÇÃO DE EQUIPAMENTOS, FERRAMENTAS E MATERIAIS DIVERSOS PARA MARCENARIA, </w:t>
      </w:r>
      <w:r>
        <w:t xml:space="preserve">destinados à estruturação e ao funcionamento da marcenaria da Secretaria Municipal </w:t>
      </w:r>
      <w:r>
        <w:t xml:space="preserve">de Saúde, vinculada ao Setor de Engenharia, para atender às atividades de fabricação, montagem, manutenção, adaptação e reparo de móveis planejados e demais estruturas em madeira nas unidades da rede municipal de saúde, por meio de Sistema de Registro de P</w:t>
      </w:r>
      <w:r>
        <w:t xml:space="preserve">reços, na modalidade Pregão Eletrônico, conforme condições e exigências estabelecidas neste instrumento.</w:t>
      </w:r>
      <w:r/>
    </w:p>
    <w:p>
      <w:pPr>
        <w:pStyle w:val="828"/>
        <w:pBdr/>
        <w:spacing/>
        <w:ind/>
        <w:jc w:val="both"/>
        <w:rPr/>
      </w:pPr>
      <w:r/>
      <w:r/>
    </w:p>
    <w:tbl>
      <w:tblPr>
        <w:tblInd w:w="98" w:type="dxa"/>
        <w:tblW w:w="4954" w:type="pct"/>
        <w:tblCellMar>
          <w:left w:w="108" w:type="dxa"/>
          <w:top w:w="0" w:type="dxa"/>
          <w:right w:w="108" w:type="dxa"/>
          <w:bottom w:w="0" w:type="dxa"/>
        </w:tblCellMar>
        <w:tblBorders/>
        <w:tblLayout w:type="fixed"/>
        <w:tblLook w:val="04A0" w:firstRow="1" w:lastRow="0" w:firstColumn="1" w:lastColumn="0" w:noHBand="0" w:noVBand="1"/>
      </w:tblPr>
      <w:tblGrid>
        <w:gridCol w:w="590"/>
        <w:gridCol w:w="1083"/>
        <w:gridCol w:w="1651"/>
        <w:gridCol w:w="848"/>
        <w:gridCol w:w="501"/>
        <w:gridCol w:w="835"/>
        <w:gridCol w:w="836"/>
        <w:gridCol w:w="835"/>
        <w:gridCol w:w="898"/>
        <w:gridCol w:w="836"/>
        <w:gridCol w:w="947"/>
        <w:gridCol w:w="724"/>
      </w:tblGrid>
      <w:tr>
        <w:trPr>
          <w:trHeight w:val="480"/>
        </w:trPr>
        <w:tc>
          <w:tcPr>
            <w:shd w:val="clear" w:color="auto" w:fill="d9d9d9"/>
            <w:tcBorders>
              <w:top w:val="single" w:color="000000" w:sz="2" w:space="0"/>
              <w:left w:val="single" w:color="000000" w:sz="2" w:space="0"/>
              <w:bottom w:val="single" w:color="000000" w:sz="2" w:space="0"/>
              <w:right w:val="single" w:color="000000" w:sz="2" w:space="0"/>
            </w:tcBorders>
            <w:tcW w:w="582"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ITEM</w:t>
            </w:r>
            <w:r>
              <w:rPr>
                <w:rFonts w:eastAsia="Aptos Narrow"/>
                <w:b/>
                <w:bCs/>
                <w:color w:val="000000"/>
              </w:rPr>
            </w:r>
            <w:r>
              <w:rPr>
                <w:rFonts w:eastAsia="Aptos Narrow"/>
                <w:b/>
                <w:bCs/>
                <w:color w:val="000000"/>
              </w:rPr>
            </w:r>
          </w:p>
        </w:tc>
        <w:tc>
          <w:tcPr>
            <w:gridSpan w:val="2"/>
            <w:shd w:val="clear" w:color="auto" w:fill="d9d9d9"/>
            <w:tcBorders>
              <w:top w:val="single" w:color="000000" w:sz="2" w:space="0"/>
              <w:left w:val="single" w:color="000000" w:sz="2" w:space="0"/>
              <w:bottom w:val="single" w:color="auto" w:sz="4" w:space="0"/>
              <w:right w:val="single" w:color="000000" w:sz="2" w:space="0"/>
            </w:tcBorders>
            <w:tcW w:w="2704"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DESCRIÇÃO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UND DE MEDIDA</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QT</w:t>
            </w:r>
            <w:r>
              <w:rPr>
                <w:rFonts w:eastAsia="Aptos Narrow"/>
                <w:b/>
                <w:bCs/>
                <w:color w:val="000000"/>
                <w:lang w:bidi="ar"/>
              </w:rPr>
              <w:t xml:space="preserve">D</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1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7"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2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3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88"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4</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7" w:type="dxa"/>
            <w:vAlign w:val="center"/>
            <w:textDirection w:val="lrTb"/>
            <w:noWrap w:val="false"/>
          </w:tcPr>
          <w:p>
            <w:pPr>
              <w:pStyle w:val="828"/>
              <w:pBdr/>
              <w:spacing/>
              <w:ind/>
              <w:jc w:val="center"/>
              <w:rPr>
                <w:rFonts w:eastAsia="Aptos Narrow"/>
                <w:b/>
                <w:bCs/>
                <w:color w:val="000000"/>
                <w:lang w:val="en-US" w:bidi="ar"/>
              </w:rPr>
            </w:pPr>
            <w:r>
              <w:rPr>
                <w:rFonts w:eastAsia="Aptos Narrow"/>
                <w:b/>
                <w:bCs/>
                <w:color w:val="000000"/>
                <w:lang w:val="en-US" w:bidi="ar"/>
              </w:rPr>
              <w:t xml:space="preserve">COTAÇÃO </w:t>
            </w:r>
            <w:r>
              <w:rPr>
                <w:rFonts w:eastAsia="Aptos Narrow"/>
                <w:b/>
                <w:bCs/>
                <w:color w:val="000000"/>
                <w:lang w:val="en-US" w:bidi="ar"/>
              </w:rPr>
            </w:r>
          </w:p>
          <w:p>
            <w:pPr>
              <w:pStyle w:val="828"/>
              <w:pBdr/>
              <w:spacing/>
              <w:ind/>
              <w:jc w:val="center"/>
              <w:rPr>
                <w:rFonts w:eastAsia="Aptos Narrow"/>
                <w:b/>
                <w:bCs/>
                <w:color w:val="000000"/>
              </w:rPr>
            </w:pPr>
            <w:r>
              <w:rPr>
                <w:rFonts w:eastAsia="Aptos Narrow"/>
                <w:b/>
                <w:bCs/>
                <w:color w:val="000000"/>
                <w:lang w:val="en-US" w:bidi="ar"/>
              </w:rPr>
              <w:t xml:space="preserve">5</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937"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MEDIA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71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TOTAL</w:t>
            </w:r>
            <w:r>
              <w:rPr>
                <w:rFonts w:eastAsia="Aptos Narrow"/>
                <w:b/>
                <w:bCs/>
                <w:color w:val="000000"/>
              </w:rPr>
            </w:r>
            <w:r>
              <w:rPr>
                <w:rFonts w:eastAsia="Aptos Narrow"/>
                <w:b/>
                <w:bCs/>
                <w:color w:val="000000"/>
              </w:rPr>
            </w:r>
          </w:p>
        </w:tc>
      </w:tr>
      <w:tr>
        <w:trPr>
          <w:trHeight w:val="48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ADESIVO HOT MELT TERMOFUSÍVEL (COLA GRANULADA)</w:t>
            </w:r>
            <w:r>
              <w:rPr>
                <w:rFonts w:eastAsia="SimSun"/>
                <w:color w:val="000000"/>
                <w:lang w:bidi="ar"/>
              </w:rPr>
              <w:t xml:space="preserve">, EMBALAGEM COM 2,5 KG. COR BRANCA. COMPOSIÇÃO À BASE DE EVA (ETILENO-VINIL-ACETATO), RESINAS SINTÉTICAS E ADITIVOS. INDICADO PARA USO EM COLADEIRAS DE BORDA, COMPATÍVEL COM APLICAÇÃO EM BORDOS DE PVC, ABS, PAPEL, LÂMINAS DE MADEIRA E LAMINADOS MELAMÍNICOS</w:t>
            </w:r>
            <w:r>
              <w:rPr>
                <w:rFonts w:eastAsia="SimSun"/>
                <w:color w:val="000000"/>
                <w:lang w:bidi="ar"/>
              </w:rPr>
              <w:t xml:space="preserve">, SOBRE MDF, MDP, AGLOMERADO, MADEIRA OU COMPENSADO. TEMPERATURA DE APLICAÇÃO COMPATÍVEL COM O EQUIPAMENTO DE BAIXA E MÉDIA VELOCIDADE.</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R$101,88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R$119,66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R$140,00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R$148,43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R$152,00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R$ 132,3940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2.647,88</w:t>
            </w:r>
            <w:r>
              <w:rPr>
                <w:rFonts w:eastAsia="Aptos Narrow"/>
                <w:color w:val="000000"/>
              </w:rPr>
            </w:r>
            <w:r>
              <w:rPr>
                <w:rFonts w:eastAsia="Aptos Narrow"/>
                <w:color w:val="000000"/>
              </w:rPr>
            </w:r>
          </w:p>
        </w:tc>
      </w:tr>
      <w:tr>
        <w:trPr>
          <w:trHeight w:val="437"/>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CANTONEIRA REFORÇADA DE METAL EM "L" COM CAPA PLÁSTICA BRANCA, MATERIAL METAL ZINCADO, COM 4 FUROS. MEDIDAS: 30MM X 30MM X 52MM (ALTURA X LARGURA X COMPRIMENTO).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R$1,35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R$2,05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R$2,10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R$ 2,1460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1.073,00</w:t>
            </w:r>
            <w:r>
              <w:rPr>
                <w:rFonts w:eastAsia="Aptos Narrow"/>
                <w:color w:val="000000"/>
              </w:rPr>
            </w:r>
            <w:r>
              <w:rPr>
                <w:rFonts w:eastAsia="Aptos Narrow"/>
                <w:color w:val="000000"/>
              </w:rPr>
            </w:r>
          </w:p>
        </w:tc>
      </w:tr>
      <w:tr>
        <w:trPr>
          <w:trHeight w:val="7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3</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CANTONEIRA TIPO L, MACIÇA, DIMENSÕES 13X13 MM, ACABAMENTO</w:t>
            </w:r>
            <w:r>
              <w:rPr>
                <w:rFonts w:eastAsia="SimSun"/>
                <w:color w:val="000000"/>
                <w:lang w:bidi="ar"/>
              </w:rPr>
              <w:t xml:space="preserve"> NIQUELADO. EMBALAGEM CONTENDO 100 UNIDADES. MATERIAL ZAMAC. COR NÍQUEL, COM 02 FUROS PARA FIXAÇÃO, CAPACIDADE DE CARGA: DEVE SUPORTAR NO MÍNIMO 25 KG.</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R$ 29,58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R$ 34,00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R$ 35,98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R$ 31,5920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4.738,80</w:t>
            </w:r>
            <w:r>
              <w:rPr>
                <w:rFonts w:eastAsia="Aptos Narrow"/>
                <w:color w:val="000000"/>
              </w:rPr>
            </w:r>
            <w:r>
              <w:rPr>
                <w:rFonts w:eastAsia="Aptos Narrow"/>
                <w:color w:val="000000"/>
              </w:rPr>
            </w:r>
          </w:p>
        </w:tc>
      </w:tr>
      <w:tr>
        <w:trPr>
          <w:trHeight w:val="9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4</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CHAPA DE COMPENSADO LAMINADO VIROLA TORNEADO, ESPESSURA 15MM, MEDIDAS: 2,20 X 1,60 METROS (COMPRIMENTO X LARGURA). LÂMINA DE REVESTIMENTO VIROLA, COMPOSIÇÃO DO MIOLO BAJÃO E REVESTIMENTO VIROLA. </w:t>
            </w:r>
            <w:r>
              <w:rPr>
                <w:rFonts w:eastAsia="SimSun"/>
                <w:color w:val="000000"/>
                <w:lang w:val="en-US" w:bidi="ar"/>
              </w:rPr>
              <w:t xml:space="preserve">ESTRUTURA COMPENSADO LAMINADO.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R$ 184,01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R$ 211,00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R$ 249,50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R$ 224,3020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13.458,12</w:t>
            </w:r>
            <w:r>
              <w:rPr>
                <w:rFonts w:eastAsia="Aptos Narrow"/>
                <w:color w:val="000000"/>
              </w:rPr>
            </w:r>
            <w:r>
              <w:rPr>
                <w:rFonts w:eastAsia="Aptos Narrow"/>
                <w:color w:val="000000"/>
              </w:rPr>
            </w:r>
          </w:p>
        </w:tc>
      </w:tr>
      <w:tr>
        <w:trPr>
          <w:trHeight w:val="792"/>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COLA DE CONTATO, EMBALAGEM CONTENDO NO MÍNIMO 2,8 QUILOS. ADESIVO DE CONTATO, COMPOSIÇÃO: BORRACHA DE POLICLOROPRENO, RESINAS SINTÉTICAS, SOLVENTES AROMÁTICOS E ALIFÁTICOS.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140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R$ 143,99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R$ 154,88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R$ 196,55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R$ 167,4840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23.447,76</w:t>
            </w:r>
            <w:r>
              <w:rPr>
                <w:rFonts w:eastAsia="Aptos Narrow"/>
                <w:color w:val="000000"/>
              </w:rPr>
            </w:r>
            <w:r>
              <w:rPr>
                <w:rFonts w:eastAsia="Aptos Narrow"/>
                <w:color w:val="000000"/>
              </w:rPr>
            </w:r>
          </w:p>
        </w:tc>
      </w:tr>
      <w:tr>
        <w:trPr>
          <w:trHeight w:val="68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COLA INSTANTÂNEA MARCENEIRO, EMBALAGEM 100 GRAMAS. ADESIVO INSTANTÂNEO MULTIÚSO, MÉDIA VISCOSIDADE, ALTA RESISTÊNCIA. COMPOSIÇÃO CIANOACRILATO, COR TRANSPARENTE. EMBALAGEM COM BICO APLICADOR COM PINO METÁLICO</w:t>
            </w:r>
            <w:r>
              <w:rPr>
                <w:rFonts w:eastAsia="SimSun"/>
                <w:color w:val="000000"/>
                <w:lang w:bidi="ar"/>
              </w:rPr>
              <w:t xml:space="preserve">. </w:t>
            </w:r>
            <w:r>
              <w:rPr>
                <w:rFonts w:eastAsia="SimSun"/>
                <w:color w:val="000000"/>
                <w:lang w:val="en-US" w:bidi="ar"/>
              </w:rPr>
              <w:t xml:space="preserve">APLICAÇÃO: MADEIRAS, MDF, COMPENSADOS, MDP, METAIS E PLÁSTICOS.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TUBO 100 GRAMA</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R$ 24,54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R$ 25,63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R$ 27,50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R$ 24,4340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8.307,56</w:t>
            </w:r>
            <w:r>
              <w:rPr>
                <w:rFonts w:eastAsia="Aptos Narrow"/>
                <w:color w:val="000000"/>
              </w:rPr>
            </w:r>
            <w:r>
              <w:rPr>
                <w:rFonts w:eastAsia="Aptos Narrow"/>
                <w:color w:val="000000"/>
              </w:rPr>
            </w:r>
          </w:p>
        </w:tc>
      </w:tr>
      <w:tr>
        <w:trPr>
          <w:trHeight w:val="9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7</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COLADEIRA DE BORDA PORTÁTIL / MÓVEL. EQUIPAMENTO ADEQUADO PARA COLAGEM DE FITAS DE BORDA EM PVC, AB</w:t>
            </w:r>
            <w:r>
              <w:rPr>
                <w:rFonts w:eastAsia="SimSun"/>
                <w:color w:val="000000"/>
                <w:lang w:bidi="ar"/>
              </w:rPr>
              <w:t xml:space="preserve">S, PAPEL E MADEIRA, SEM ADESIVO PRÉ-APLICADO, PARA USO EM PEÇAS EXCLUSIVAMENTE RETAS. DEVE PERMITIR O USO DE FITAS COM: ESPESSURA MÍNIMA DE 0,3 MM E MÁXIMA DE 2,0 MM; LARGURA MÍNIMA DE 10 MM E MÁXIMA DE 80 MM. O EQUIPAMENTO DEVERÁ POSSUIR: DESTOPADOR MANUA</w:t>
            </w:r>
            <w:r>
              <w:rPr>
                <w:rFonts w:eastAsia="SimSun"/>
                <w:color w:val="000000"/>
                <w:lang w:bidi="ar"/>
              </w:rPr>
              <w:t xml:space="preserve">L PARA CORTE DAS FITAS RENTE À BORDA DA PEÇA, NÃO SENDO EXIGIDO SISTEMA PNEUMÁTICO; CONTROLADOR DIGITAL DE TEMPERATURA, COM FAIXA DE AJUSTE ENTRE 120 °C E 220 °C; VELOCIDADE DE AVANÇO MÍNIMA DE 5,</w:t>
            </w:r>
            <w:r>
              <w:rPr>
                <w:rFonts w:eastAsia="SimSun"/>
                <w:color w:val="000000"/>
                <w:lang w:bidi="ar"/>
              </w:rPr>
              <w:t xml:space="preserve">5 M/MIN; POTÊNCIA MÍNIMA DA RESISTÊNCIA DE 1.500 W. ALIMENTAÇÃO ELÉTRICA: 220 V MONOFÁSICA OU BIVOLT. O EQUIPAMENTO DEVERÁ SER NOVO, ORIGINAL DE FÁBRICA, ACOMPANHADO DE MANUAL EM LÍNGUA PORTUGUESA E POSSUIR GARANTIA MÍNIMA DO FABRICANTE DE 12 (DOZE) MESES.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R$ 6.990,00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R$ 8.665,22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R$ 9.860,60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R$ 9.912,54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SimSun"/>
                <w:color w:val="000000"/>
                <w:lang w:val="en-US" w:bidi="ar"/>
              </w:rPr>
              <w:t xml:space="preserve">7.800,00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R$ 10.645,6720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10.645,67</w:t>
            </w:r>
            <w:r>
              <w:rPr>
                <w:rFonts w:eastAsia="Aptos Narrow"/>
                <w:color w:val="000000"/>
              </w:rPr>
            </w:r>
            <w:r>
              <w:rPr>
                <w:rFonts w:eastAsia="Aptos Narrow"/>
                <w:color w:val="000000"/>
              </w:rPr>
            </w:r>
          </w:p>
        </w:tc>
      </w:tr>
      <w:tr>
        <w:trPr>
          <w:trHeight w:val="13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8</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COLETOR DE PÓ INDUSTRIAL PARA MARCENARIA, DESTINADO À ASPIRAÇÃO DE RESÍDUOS SÓLIDOS (PÓ E CAVACOS DE MADEIRA). EQUIPADO COM MOTOR ELÉTRICO DE POTÊNCIA MÍNIMA DE 2 CV, 2 POLOS, MONOFÁSICO OU TRIFÁSICO, ADEQUADO PARA </w:t>
            </w:r>
            <w:r>
              <w:rPr>
                <w:rFonts w:eastAsia="SimSun"/>
                <w:color w:val="000000"/>
                <w:lang w:bidi="ar"/>
              </w:rPr>
              <w:t xml:space="preserve">USO CONTÍNUO. DEVE POSSUIR, NO MÍNIMO: ALTURA APROXIMADA MÍNIMA DE 2.000 MM; VAZÃO MÍNIMA DE 28 M³/MIN; PRESSÃO ESTÁTICA MÁXIMA MÍNIMA DE 270 MMCA; DUAS BOCAS DE ENTRADA, COM DIÂMETRO NOMINAL DE 100 MM CADA; CAPACIDADE MÍNIMA DO RESERVATÓRIO DE 0,15 M³ (15</w:t>
            </w:r>
            <w:r>
              <w:rPr>
                <w:rFonts w:eastAsia="SimSun"/>
                <w:color w:val="000000"/>
                <w:lang w:bidi="ar"/>
              </w:rPr>
              <w:t xml:space="preserve">0 LITROS); SISTEMA DE COLETA COM RESERVATÓRIO INFERIOR E</w:t>
            </w:r>
            <w:r>
              <w:rPr>
                <w:rFonts w:eastAsia="SimSun"/>
                <w:color w:val="000000"/>
                <w:lang w:bidi="ar"/>
              </w:rPr>
              <w:t xml:space="preserve">M SACO DE PANO COLETOR E SACO FILTRANTE EM TECIDO, OU SISTEMA EQUIVALENTE, ADEQUADO À RETENÇÃO DE PÓ. O EQUIPAMENTO DEVERÁ SER NOVO, ORIGINAL DE FÁBRICA, ACOMPANHADO DE MANUAL EM LÍNGUA PORTUGUESA E POSSUIR GARANTIA MÍNIMA DO FABRICANTE DE 12 (DOZE) MESES.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R$ 3.850,00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R$ 4.581,29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R$ 4.644,40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R$ 5.980,64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R$ 8.221,00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R$ 5.455,4660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5.455,47</w:t>
            </w:r>
            <w:r>
              <w:rPr>
                <w:rFonts w:eastAsia="Aptos Narrow"/>
                <w:color w:val="000000"/>
              </w:rPr>
            </w:r>
            <w:r>
              <w:rPr>
                <w:rFonts w:eastAsia="Aptos Narrow"/>
                <w:color w:val="000000"/>
              </w:rPr>
            </w:r>
          </w:p>
        </w:tc>
      </w:tr>
      <w:tr>
        <w:trPr>
          <w:trHeight w:val="9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9</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COMPRESSOR DE AR ALTERNATIVO LUBRIFICADO, COM RESERVATÓRIO HORIZONTAL DE CAPACIDADE MÍNIMA DE 110 L</w:t>
            </w:r>
            <w:r>
              <w:rPr>
                <w:rFonts w:eastAsia="SimSun"/>
                <w:color w:val="000000"/>
                <w:lang w:bidi="ar"/>
              </w:rPr>
              <w:t xml:space="preserve">ITROS. EQUIPADO COM: MOTOR ELÉTRICO MONOFÁSICO, COM POTÊNCIA DE NO MÍNIMO 2CV (1,49 KW), DOTADO DE PROTETOR TÉRMICO; PRESSÃO MÁXIMA DE TRABALHO MÍNIMA DE 9,6 BAR; TRANSMISSÃO POR CORREIA; BLOCO COMPRESSOR EM FERRO FUNDIDO, COM SISTEMA DE TRABALHO EM V; SIS</w:t>
            </w:r>
            <w:r>
              <w:rPr>
                <w:rFonts w:eastAsia="SimSun"/>
                <w:color w:val="000000"/>
                <w:lang w:bidi="ar"/>
              </w:rPr>
              <w:t xml:space="preserve">TEMA DE LUBRIFICAÇÃO A ÓLEO. DEVERÁ CONTER, NO MÍNIMO: VÁLVULA DE RETENÇÃO; DRENO (VÁLVULA PURGADORA); PRESSOSTATO; MANÔMETRO; VÁLVULA DE SEGURANÇA; FILTROS DE AR; SERPENTINA ALETADA; REGISTRO DE SAÍDA DE AR; SISTEMA DE PROTEÇÃO DUPLA NAS PARTES GIRANTES. </w:t>
            </w:r>
            <w:r>
              <w:rPr>
                <w:rFonts w:eastAsia="SimSun"/>
                <w:color w:val="000000"/>
                <w:lang w:bidi="ar"/>
              </w:rPr>
              <w:t xml:space="preserve">O EQUIPAMENTO DEVERÁ SER FORNECIDO COM: PRONTUÁRIO DE VASO DE PRESSÃO;  FICHA DE MANUTENÇÃO E TROCA DE ÓLEO; MANUAL DE INSTRUÇÕES EM PORTUGUÊS E CERTIFICADO DE GARANTIA, COM GARANTIA MÍNIMA DE 12 (DOZE) MESES. </w:t>
            </w:r>
            <w:r>
              <w:rPr>
                <w:rFonts w:eastAsia="SimSun"/>
                <w:color w:val="000000"/>
                <w:lang w:val="en-US" w:bidi="ar"/>
              </w:rPr>
              <w:t xml:space="preserve">ALIMENTAÇÃO ELÉTRICA 110/220 V OU BIVOLT.</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R$ 2.566,81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R$ 2.832,38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R$ 3.478,75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R$ 3.595,64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R$ 3.054,7160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3.054,72</w:t>
            </w:r>
            <w:r>
              <w:rPr>
                <w:rFonts w:eastAsia="Aptos Narrow"/>
                <w:color w:val="000000"/>
              </w:rPr>
            </w:r>
            <w:r>
              <w:rPr>
                <w:rFonts w:eastAsia="Aptos Narrow"/>
                <w:color w:val="000000"/>
              </w:rPr>
            </w:r>
          </w:p>
        </w:tc>
      </w:tr>
      <w:tr>
        <w:trPr>
          <w:trHeight w:val="13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10</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CORREDIÇA TELESCÓPICA, COMPRIMENTO NOMINAL DE 350MM. EMBALAGEM CONTENDO 1 PAR. CONFECCIONADA EM AÇO, COM ACABAMENTO ZINCADO, DE ASPECTO ACETINADO NA COR PRATA.</w:t>
            </w:r>
            <w:r>
              <w:rPr>
                <w:rFonts w:eastAsia="SimSun"/>
                <w:color w:val="000000"/>
                <w:lang w:bidi="ar"/>
              </w:rPr>
              <w:t xml:space="preserve"> SISTEMA TELESCÓPICO COM ABERTURA TOTAL. CAPACIDADE MÍNIMA DE CARGA DE 30 KG POR PAR.</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R$ 41,46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R$ 19,6900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7.088,40</w:t>
            </w:r>
            <w:r>
              <w:rPr>
                <w:rFonts w:eastAsia="Aptos Narrow"/>
                <w:color w:val="000000"/>
              </w:rPr>
            </w:r>
            <w:r>
              <w:rPr>
                <w:rFonts w:eastAsia="Aptos Narrow"/>
                <w:color w:val="000000"/>
              </w:rPr>
            </w:r>
          </w:p>
        </w:tc>
      </w:tr>
      <w:tr>
        <w:trPr>
          <w:trHeight w:val="7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11</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CORREDIÇA TELESCÓPICA, COMPRIMENTO NOMINAL DE 400MM. EMBALAGEM CONTENDO 1 PAR. CONFECC</w:t>
            </w:r>
            <w:r>
              <w:rPr>
                <w:rFonts w:eastAsia="SimSun"/>
                <w:color w:val="000000"/>
                <w:lang w:bidi="ar"/>
              </w:rPr>
              <w:t xml:space="preserve">IONADA EM AÇO, COM ACABAMENTO ZINCADO, COR PRATA. DESTINADA A  FIXAÇÃO LATERAL, ALTURA APROXIMADA DE 42 MM, COMPATÍVEL COM CORREDIÇA TELESCÓPICA LATERAL DE 400 MM. CAPACIDADE MÍNIMA DE CARGA DE 30 KG POR PAR. DISPOSITIVO DE RETENÇÃO NA POSIÇÃO FECHADA, POR</w:t>
            </w:r>
            <w:r>
              <w:rPr>
                <w:rFonts w:eastAsia="SimSun"/>
                <w:color w:val="000000"/>
                <w:lang w:bidi="ar"/>
              </w:rPr>
              <w:t xml:space="preserve"> BORRACHA, BATENTE OU SISTEMA EQUIVALENTE, GARANTINDO A PERMANÊNCIA DA GAVETA FECHADA.</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R$ 10,51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R$ 26,00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18.700,00</w:t>
            </w:r>
            <w:r>
              <w:rPr>
                <w:rFonts w:eastAsia="Aptos Narrow"/>
                <w:color w:val="000000"/>
              </w:rPr>
            </w:r>
            <w:r>
              <w:rPr>
                <w:rFonts w:eastAsia="Aptos Narrow"/>
                <w:color w:val="000000"/>
              </w:rPr>
            </w:r>
          </w:p>
        </w:tc>
      </w:tr>
      <w:tr>
        <w:trPr>
          <w:trHeight w:val="562"/>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12</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DOBRADIÇA CURVA (OU ALTA) PARA MÓVEIS, COM SISTEMA DE AMORTECIMENTO (SLOW MOTION) </w:t>
            </w:r>
            <w:r>
              <w:rPr>
                <w:rFonts w:eastAsia="SimSun"/>
                <w:color w:val="000000"/>
                <w:lang w:bidi="ar"/>
              </w:rPr>
              <w:t xml:space="preserve">EMBUTIDO NO BRAÇO. DIÂMETRO DO CANECO: 35MM. CALÇO: H2 (ALTURA 2MM) COM SISTEMA DE FIXAÇÃO SLIDE-ON. TIPO DE FECHAMENTO: PRESSÃO/AUTOMÁTICO. MATERIAL: AÇO. ACABAMENTO: NIQUELADO (CROMADO). COMPATÍVEL COM ESPESSURA DE PORTA DE 16MM A 26MM. ÂNGULO DE ABERTUR</w:t>
            </w:r>
            <w:r>
              <w:rPr>
                <w:rFonts w:eastAsia="SimSun"/>
                <w:color w:val="000000"/>
                <w:lang w:bidi="ar"/>
              </w:rPr>
              <w:t xml:space="preserve">A: 105° OU SUPERIOR.</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R$ 5,98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R$ 6,45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R$ 6,61 </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R$ 6,72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R$ 6,79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6.510,00</w:t>
            </w:r>
            <w:r>
              <w:rPr>
                <w:rFonts w:eastAsia="Aptos Narrow"/>
                <w:color w:val="000000"/>
              </w:rPr>
            </w:r>
            <w:r>
              <w:rPr>
                <w:rFonts w:eastAsia="Aptos Narrow"/>
                <w:color w:val="000000"/>
              </w:rPr>
            </w:r>
          </w:p>
        </w:tc>
      </w:tr>
      <w:tr>
        <w:trPr>
          <w:trHeight w:val="607"/>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13</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ESQUADREJADEIRA COM EIXO INCLINÁVEL  - MOTOR MONOFÁSICO DE NO MÍNIMO 3 CV – 2 POLOS (PADRÃO); DIMENSÕES MÍNIMAS DA MESA MÓVEL DE 1300X 850 MM; CAPACIDADE </w:t>
            </w:r>
            <w:r>
              <w:rPr>
                <w:rFonts w:eastAsia="SimSun"/>
                <w:color w:val="000000"/>
                <w:lang w:bidi="ar"/>
              </w:rPr>
              <w:t xml:space="preserve">DE CORTE DE NO MÍNIMO 3.000 MM; DIMENSÕES MÍNIMAS DA MESA FIXA DE 810X 600 MM; DIÂMETRO MÁXIMO DA SERRA 350 MM; INCLINAÇÃO 45°; LARGURA DE CORTE DA MESA FIXA 1.030 MM; COMPRIMENTO DA GUIA EM ALUMÍNIO DE NO MÍNIMO 2.580 MM; ALTURA MÁXIMA DE CORTE 90º DE NO </w:t>
            </w:r>
            <w:r>
              <w:rPr>
                <w:rFonts w:eastAsia="SimSun"/>
                <w:color w:val="000000"/>
                <w:lang w:bidi="ar"/>
              </w:rPr>
              <w:t xml:space="preserve">MÍNIMO 80 MM; ALTURA MÁXIMA DE CORTE 45° DE NO MÍNIMO 70 MM; PROLONGADOR DA MESA FIXA  DE NO MÍNIMO 550 MM.</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R$ 16.908,34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18.220,33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R$ 19.331,10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R$ 27.300,00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42.500,01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R$ 24.851,9560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24.851,96</w:t>
            </w:r>
            <w:r>
              <w:rPr>
                <w:rFonts w:eastAsia="Aptos Narrow"/>
                <w:color w:val="000000"/>
              </w:rPr>
            </w:r>
            <w:r>
              <w:rPr>
                <w:rFonts w:eastAsia="Aptos Narrow"/>
                <w:color w:val="000000"/>
              </w:rPr>
            </w:r>
          </w:p>
        </w:tc>
      </w:tr>
      <w:tr>
        <w:trPr>
          <w:trHeight w:val="6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14</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FECHADURA PARA GAVETA, MEDIDAS: 32X17MM. MATERIAL AÇO / ZAMAK, COR PRATA, ACABAMENTO NIQUELADO. TIPO DE CHAVE FIXA COM ACABAMENTO EM PLÁSTICO POLIDO. ROTAÇÃO DA CHAVE 180º.</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R$ 13,85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R$ 18,00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R$ 17,6100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8.805,00</w:t>
            </w:r>
            <w:r>
              <w:rPr>
                <w:rFonts w:eastAsia="Aptos Narrow"/>
                <w:color w:val="000000"/>
              </w:rPr>
            </w:r>
            <w:r>
              <w:rPr>
                <w:rFonts w:eastAsia="Aptos Narrow"/>
                <w:color w:val="000000"/>
              </w:rPr>
            </w:r>
          </w:p>
        </w:tc>
      </w:tr>
      <w:tr>
        <w:trPr>
          <w:trHeight w:val="283"/>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15</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0,40 MM. ROL</w:t>
            </w:r>
            <w:r>
              <w:rPr>
                <w:rFonts w:eastAsia="SimSun"/>
                <w:color w:val="000000"/>
                <w:lang w:bidi="ar"/>
              </w:rPr>
              <w:t xml:space="preserve">O MEDIDAS: 22MM X 300M. </w:t>
            </w:r>
            <w:r>
              <w:rPr>
                <w:rFonts w:eastAsia="SimSun"/>
                <w:color w:val="000000"/>
                <w:lang w:val="en-US" w:bidi="ar"/>
              </w:rPr>
              <w:t xml:space="preserve">COR BRANCO,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70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R$ 90,18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R$ 116,00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R$ 130,4360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9.130,52</w:t>
            </w:r>
            <w:r>
              <w:rPr>
                <w:rFonts w:eastAsia="Aptos Narrow"/>
                <w:color w:val="000000"/>
              </w:rPr>
            </w:r>
            <w:r>
              <w:rPr>
                <w:rFonts w:eastAsia="Aptos Narrow"/>
                <w:color w:val="000000"/>
              </w:rPr>
            </w:r>
          </w:p>
        </w:tc>
      </w:tr>
      <w:tr>
        <w:trPr>
          <w:trHeight w:val="43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16</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0,40 MM. ROLO MEDIDAS: 65MM X 20M. </w:t>
            </w:r>
            <w:r>
              <w:rPr>
                <w:rFonts w:eastAsia="SimSun"/>
                <w:color w:val="000000"/>
                <w:lang w:val="en-US" w:bidi="ar"/>
              </w:rPr>
              <w:t xml:space="preserve">COR BRANCO,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R$ 46,67</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R$ 70,99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R$ 88,03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R$ 53,6380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16.091,40</w:t>
            </w:r>
            <w:r>
              <w:rPr>
                <w:rFonts w:eastAsia="Aptos Narrow"/>
                <w:color w:val="000000"/>
              </w:rPr>
            </w:r>
            <w:r>
              <w:rPr>
                <w:rFonts w:eastAsia="Aptos Narrow"/>
                <w:color w:val="000000"/>
              </w:rPr>
            </w:r>
          </w:p>
        </w:tc>
      </w:tr>
      <w:tr>
        <w:trPr>
          <w:trHeight w:val="8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17</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0,45 MM. ROLO MEDIDAS: 22MM X 20MT. </w:t>
            </w:r>
            <w:r>
              <w:rPr>
                <w:rFonts w:eastAsia="SimSun"/>
                <w:color w:val="000000"/>
                <w:lang w:val="en-US" w:bidi="ar"/>
              </w:rPr>
              <w:t xml:space="preserve">COR PADRÃO TONALIDADE MARROM DOURADO,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480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R$ 49,94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R$ 55</w:t>
            </w:r>
            <w:r>
              <w:rPr>
                <w:rFonts w:eastAsia="SimSun"/>
                <w:color w:val="000000"/>
                <w:lang w:val="en-US" w:bidi="ar"/>
              </w:rPr>
              <w:t xml:space="preserve">,00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R$ 59,1880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28.410,24</w:t>
            </w:r>
            <w:r>
              <w:rPr>
                <w:rFonts w:eastAsia="Aptos Narrow"/>
                <w:color w:val="000000"/>
              </w:rPr>
            </w:r>
            <w:r>
              <w:rPr>
                <w:rFonts w:eastAsia="Aptos Narrow"/>
                <w:color w:val="000000"/>
              </w:rPr>
            </w:r>
          </w:p>
        </w:tc>
      </w:tr>
      <w:tr>
        <w:trPr>
          <w:trHeight w:val="8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FURADEIRA DE BANCADA COM AJUSTE DE ALTURA, MOTOR COM POTÊNCIA DE NO MÍNIMO 1/2 HP; ROTAÇÃO 1.740 RPM / 60HZ; MANDRIL DE 5/8 POLEG</w:t>
            </w:r>
            <w:r>
              <w:rPr>
                <w:rFonts w:eastAsia="SimSun"/>
                <w:color w:val="000000"/>
                <w:lang w:bidi="ar"/>
              </w:rPr>
              <w:t xml:space="preserve">ADAS, CAPACIDADE DE PERFURAÇÃO DE 16 MM E PROFUNDIDADE DE 110MM OU SUPERIOR. DIMENSÕES DA MESA DE NO MÍNIMO: 200 X 190 MM, VOLTAGEM TRIFÁSICO. DESIGN ERGONÔMICO. NA EMBALAGEM DEVERÁ TER IDENTIFICAÇÃO DO FABRICANTE, CARACTERÍSTICAS DO PRODUTO E ACESSÓRIOS. </w:t>
            </w:r>
            <w:r>
              <w:rPr>
                <w:rFonts w:eastAsia="SimSun"/>
                <w:color w:val="000000"/>
                <w:lang w:val="en-US" w:bidi="ar"/>
              </w:rPr>
              <w:t xml:space="preserve">GARANTIA MINIMA DE 12 MESES DO FABRICANTE.</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R$ 1.435,50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R$ 1.50</w:t>
            </w:r>
            <w:r>
              <w:rPr>
                <w:rFonts w:eastAsia="SimSun"/>
                <w:color w:val="000000"/>
                <w:lang w:val="en-US" w:bidi="ar"/>
              </w:rPr>
              <w:t xml:space="preserve">8,00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R$ 1.547,00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R$ 1.659,00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R$ 1.522,9000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1.522,90</w:t>
            </w:r>
            <w:r>
              <w:rPr>
                <w:rFonts w:eastAsia="Aptos Narrow"/>
                <w:color w:val="000000"/>
              </w:rPr>
            </w:r>
            <w:r>
              <w:rPr>
                <w:rFonts w:eastAsia="Aptos Narrow"/>
                <w:color w:val="000000"/>
              </w:rPr>
            </w:r>
          </w:p>
        </w:tc>
      </w:tr>
      <w:tr>
        <w:trPr>
          <w:trHeight w:val="78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19</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FURADEIRA E PARAFUSADEIRA DE IMPACTO A BATERIA, TENSÃO DA BATERIA DE 20V MAX (18V NOMINAL) OU EQUIVALENTE; TORQUE MÁXIMO MÍNIMO DE 60 NM; VELOCIDADE SEM CARGA: 0-600 / 0-2.000 RPM; IMPACTOS POR MI</w:t>
            </w:r>
            <w:r>
              <w:rPr>
                <w:rFonts w:eastAsia="SimSun"/>
                <w:color w:val="000000"/>
                <w:lang w:bidi="ar"/>
              </w:rPr>
              <w:t xml:space="preserve">NUTO: 0-10.200 / 0-34.000 IPM; MADRIL DE APERTO RÁPIDO: 1/2" (13MM). FUNÇÕES: PARAFUSADEIRA, FURADEIRA E FURADEIRA COM IMPACTO; NÚMERO DE VELOCIDADE MECÂNICAS: 2. CAPACIDADES MÁXIMAS APROPRIADAS DE PERFURAÇÃO: MADEIRA 38MM; AÇO 13MM; ALVENARIA 13MM.  ITENS</w:t>
            </w:r>
            <w:r>
              <w:rPr>
                <w:rFonts w:eastAsia="SimSun"/>
                <w:color w:val="000000"/>
                <w:lang w:bidi="ar"/>
              </w:rPr>
              <w:t xml:space="preserve"> INCLUSOS NO KIT: 2 BATERIAS 20V MAX E 18V NOMINAL; 1 CARREGADOR COMPATÍVEL; 1 MALETA PLÁSTICA PARA TRANSPORTE; MANUAL DE INSTRUÇÕES EM LÍNGUA PORTUGUESA. </w:t>
            </w:r>
            <w:r>
              <w:rPr>
                <w:rFonts w:eastAsia="SimSun"/>
                <w:color w:val="000000"/>
                <w:lang w:val="en-US" w:bidi="ar"/>
              </w:rPr>
              <w:t xml:space="preserve">GARANTIA DE NO MÍNIMO 12 MESES. </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R$ 1.179,00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R$ 1.229,99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R$ 1.256,87</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R$ 1.285,00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R$ 1.295,00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R$ 1.249,1720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7.495,03</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20</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MARTELETE EM AÇO, TIPO PERFURADOR ROMPEDOR, COM POTÊNCIA DE NO MÍNIMO 800 WATTS, COM CAPACIDADE DE IMPACTO DE NO MÍNIMO 2,9J, NA VOLTAGEM 220 VOLTS OU BIVOLT, ACOMPANHAR MANDRIL SDS-PLUS E MALETA PARA ACONDICIONAMENTO ADEQU</w:t>
            </w:r>
            <w:r>
              <w:rPr>
                <w:rFonts w:eastAsia="SimSun"/>
                <w:color w:val="000000"/>
                <w:lang w:bidi="ar"/>
              </w:rPr>
              <w:t xml:space="preserve">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R$ 760,32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R$ 798,67</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R$ 930,00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R$ 981,00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R$ 893,9980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4.469,99</w:t>
            </w:r>
            <w:r>
              <w:rPr>
                <w:rFonts w:eastAsia="Aptos Narrow"/>
                <w:color w:val="000000"/>
              </w:rPr>
            </w:r>
            <w:r>
              <w:rPr>
                <w:rFonts w:eastAsia="Aptos Narrow"/>
                <w:color w:val="000000"/>
              </w:rPr>
            </w:r>
          </w:p>
        </w:tc>
      </w:tr>
      <w:tr>
        <w:trPr>
          <w:trHeight w:val="215"/>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21</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25 MM (DIÂMETRO X COMPRIMENTO). EMBALAGEM COM 1.000 (MIL)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R$ 44,00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R$ 68,50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R$ 69,25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R$ 93,16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R$ 65,9820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11.876,76</w:t>
            </w:r>
            <w:r>
              <w:rPr>
                <w:rFonts w:eastAsia="Aptos Narrow"/>
                <w:color w:val="000000"/>
              </w:rPr>
            </w:r>
            <w:r>
              <w:rPr>
                <w:rFonts w:eastAsia="Aptos Narrow"/>
                <w:color w:val="000000"/>
              </w:rPr>
            </w:r>
          </w:p>
        </w:tc>
      </w:tr>
      <w:tr>
        <w:trPr>
          <w:trHeight w:val="6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22</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35 MM (DIÂMETRO X COMPRIMENTO). EMBALAGEM COM 500 UNIDADES. MATERIAL AÇO CARBONO COM ACABAMENTO BICROMATI</w:t>
            </w:r>
            <w:r>
              <w:rPr>
                <w:rFonts w:eastAsia="SimSun"/>
                <w:color w:val="000000"/>
                <w:lang w:bidi="ar"/>
              </w:rPr>
              <w:t xml:space="preserve">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R$ 41,75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R$ 48,3500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2.901,00</w:t>
            </w:r>
            <w:r>
              <w:rPr>
                <w:rFonts w:eastAsia="Aptos Narrow"/>
                <w:color w:val="000000"/>
              </w:rPr>
            </w:r>
            <w:r>
              <w:rPr>
                <w:rFonts w:eastAsia="Aptos Narrow"/>
                <w:color w:val="000000"/>
              </w:rPr>
            </w:r>
          </w:p>
        </w:tc>
      </w:tr>
      <w:tr>
        <w:trPr>
          <w:trHeight w:val="6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23</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40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R$ 30,11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R$ 32,30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R$ 33,99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R$ 36,19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R$ 32,5180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5.853,24</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24</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4 X 16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R$ 23,52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R$ 28,10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R$ 29,85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R$ 25,4940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7.648,20</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25</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4 X 25 MM (DIÂMETRO X COMPRIMENTO). EMBALAGEM COM 1.000 (MIL)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R$ 54,90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R$ 89,76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R$ 62,3320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14.959,68</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26</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4 X 40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R$ 56,71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R$ 62,3420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3.740,52</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27</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6 X 50 MM (DIÂMETRO X COMPRIMENTO). EMBALAGEM COM 200 UNIDADES. PADRÃO DE ENCAIXE PHILLIPS. MATERIAL AÇO CARBONO COM ACABAMENTO BICROMATIZADO, TRATAMENTO CEMENTADO.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R$ 42,95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R$ 46,80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R$ 47,40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R$ 47,8300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2.869,80</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28</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6 X 60 MM (DIÂMETRO X COMPRIMENTO). EMBALAGEM COM 200 UNIDADES. PADRÃO DE ENCAIXE PHILLIPS. MATERIAL AÇO </w:t>
            </w:r>
            <w:r>
              <w:rPr>
                <w:rFonts w:eastAsia="SimSun"/>
                <w:color w:val="000000"/>
                <w:lang w:bidi="ar"/>
              </w:rPr>
              <w:t xml:space="preserve">CARBONO COM ACABAMENTO BICROMATIZADO, TRATAMENTO CEMENTADO.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R$ 66,30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R$ 67,80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R$ 93,8200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5.629,20</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29</w:t>
            </w:r>
            <w:r>
              <w:rPr>
                <w:rFonts w:eastAsia="Aptos Narrow"/>
                <w:color w:val="000000"/>
              </w:rPr>
            </w:r>
            <w:r>
              <w:rPr>
                <w:rFonts w:eastAsia="Aptos Narrow"/>
                <w:color w:val="000000"/>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PLACA DE MDF COM ESPESSURA 15MM 2 FACES. COR PADRÃO BRANCO TX, ACABAMENTO TEXTURIZADO. MED</w:t>
            </w:r>
            <w:r>
              <w:rPr>
                <w:rFonts w:eastAsia="SimSun"/>
                <w:color w:val="000000"/>
                <w:lang w:bidi="ar"/>
              </w:rPr>
              <w:t xml:space="preserve">IDAS MÍNIMAS: 2.750 X 1.850 X 15 MM (COMPRIMENTO X LARGURA X ESPESSURA). ACABAMENTO: REVESTIMENTO MELAMÍNICO DE BAIXA PRESSÃO (BP) NAS DUAS FACES CONFORME PADRÃO INDICADO. GARANTIA DO FABRICANTE DE NO MÍNIMO 90 DIAS CONTRA VÍCIOS OU DEFEITOS DE FABRICAÇÃO.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704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R$ 247,</w:t>
            </w:r>
            <w:r>
              <w:rPr>
                <w:rFonts w:eastAsia="SimSun"/>
                <w:color w:val="000000"/>
                <w:lang w:val="en-US" w:bidi="ar"/>
              </w:rPr>
              <w:t xml:space="preserve">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R$ 268,33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R$ 282,52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R$ 443,33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R$ 308,3360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217.068,54</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30</w:t>
            </w:r>
            <w:r>
              <w:rPr>
                <w:rFonts w:eastAsia="Aptos Narrow"/>
                <w:color w:val="000000"/>
                <w:highlight w:val="green"/>
                <w:lang w:bidi="ar"/>
              </w:rPr>
            </w:r>
            <w:r>
              <w:rPr>
                <w:rFonts w:eastAsia="Aptos Narrow"/>
                <w:color w:val="000000"/>
                <w:highlight w:val="green"/>
                <w:lang w:bidi="ar"/>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PLACA DE MDF COM ESPESSURA 15MM 2 FACES. COR PADRÃO TONALIDADE MARROM D</w:t>
            </w:r>
            <w:r>
              <w:rPr>
                <w:rFonts w:eastAsia="SimSun"/>
                <w:color w:val="000000"/>
                <w:lang w:bidi="ar"/>
              </w:rPr>
              <w:t xml:space="preserve">OURADO, ACABAMENTO QUE SIMULA A MADEIRA NOGUEIRA, TEXTURA LINEA. MEDIDAS MÍNIMAS: 2.750 X 1.850 X 15 MM (COMPRIMENTO X LARGURA X ESPESSURA). COMPOSIÇÃO FIBRA DE EUCALIPTO. GARANTIA DO FABRICANTE DE NO MÍNIMO 90 DIAS CONTRA VÍCIOS OU DEFEITOS DE FABRICAÇÃO.</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1104</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R$ 230,00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R$ 260,00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R$ 333,00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R$ 418,15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R$ 574,16</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R$ 363,0620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400.820,45</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31</w:t>
            </w:r>
            <w:r>
              <w:rPr>
                <w:rFonts w:eastAsia="Aptos Narrow"/>
                <w:color w:val="000000"/>
                <w:highlight w:val="green"/>
                <w:lang w:bidi="ar"/>
              </w:rPr>
            </w:r>
            <w:r>
              <w:rPr>
                <w:rFonts w:eastAsia="Aptos Narrow"/>
                <w:color w:val="000000"/>
                <w:highlight w:val="green"/>
                <w:lang w:bidi="ar"/>
              </w:rPr>
            </w:r>
          </w:p>
        </w:tc>
        <w:tc>
          <w:tcPr>
            <w:gridSpan w:val="2"/>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PLACA DE MDF ESPES</w:t>
            </w:r>
            <w:r>
              <w:rPr>
                <w:rFonts w:eastAsia="SimSun"/>
                <w:color w:val="000000"/>
                <w:lang w:bidi="ar"/>
              </w:rPr>
              <w:t xml:space="preserve">SURA 6MM 2 FACES. COR PADRÃO BRANCO TX, ACABAMENTO TEXTURIZADO. ME</w:t>
            </w:r>
            <w:r>
              <w:rPr>
                <w:rFonts w:eastAsia="SimSun"/>
                <w:color w:val="000000"/>
                <w:lang w:bidi="ar"/>
              </w:rPr>
              <w:t xml:space="preserve">DIDAS MÍNIMAS: 2.750 X 1.850 X 6 MM (COMPRIMENTO X LARGURA X ESPESSURA). ACABAMENTO: REVESTIMENTO MELAMÍNICO DE BAIXA PRESSÃO (BP) NAS DUAS FACES CONFORME PADRÃO INDICADO. GARANTIA DO FABRICANTE DE NO MÍNIMO 90 DIAS CONTRA VÍCIOS OU DEFEITOS DE FABRICAÇÃO.</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450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R$ 178,00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R$ 230,00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R$ 255,00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R$ 257,25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R$ 369,00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R$ 257,8500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116.032,50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32</w:t>
            </w:r>
            <w:r>
              <w:rPr>
                <w:rFonts w:eastAsia="Aptos Narrow"/>
                <w:color w:val="000000"/>
                <w:highlight w:val="green"/>
                <w:lang w:bidi="ar"/>
              </w:rPr>
            </w:r>
            <w:r>
              <w:rPr>
                <w:rFonts w:eastAsia="Aptos Narrow"/>
                <w:color w:val="000000"/>
                <w:highlight w:val="green"/>
                <w:lang w:bidi="ar"/>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PLAINA ELÉTRICA PARA MADEIRA, POTÊNCIA DE NO MÍNIMO 550W E 17000 RPM OU SUPERIOR; LARGURA MÍNIMA </w:t>
            </w:r>
            <w:r>
              <w:rPr>
                <w:rFonts w:eastAsia="SimSun"/>
                <w:color w:val="000000"/>
                <w:lang w:bidi="ar"/>
              </w:rPr>
              <w:t xml:space="preserve">DA LÂMINA DE 82MM; TENSÃO BIVOLT.</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1</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R$ 558,15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R$ 592,00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R$ 888,00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R$ 1.183,84</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R$ 1.749,99</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R$ 994,3960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 994,40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33</w:t>
            </w:r>
            <w:r>
              <w:rPr>
                <w:rFonts w:eastAsia="Aptos Narrow"/>
                <w:color w:val="000000"/>
                <w:highlight w:val="green"/>
                <w:lang w:bidi="ar"/>
              </w:rPr>
            </w:r>
            <w:r>
              <w:rPr>
                <w:rFonts w:eastAsia="Aptos Narrow"/>
                <w:color w:val="000000"/>
                <w:highlight w:val="green"/>
                <w:lang w:bidi="ar"/>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SAPATA NIVELADORA REGULÁ</w:t>
            </w:r>
            <w:r>
              <w:rPr>
                <w:rFonts w:eastAsia="SimSun"/>
                <w:color w:val="000000"/>
                <w:lang w:bidi="ar"/>
              </w:rPr>
              <w:t xml:space="preserve">VEL PARA MÓVEIS, ROSCA 5/16" X 1", COM BUCHA COMPATÍVEL, BASE COM DIÂMETRO/SEÇÃO APROXIMADA DE 31 MM, ALTURA MÁXIMA APROXIMADA DE 40 MM, COM REGULAGEM DE ALTURA, MATERIAL AÇO / ZAMAC, ACABAMENTO ZINCADO, PRÓPRIA PARA CORREÇÃO DE DESNÍVEL E APOIO DE MÓVEIS.</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R$ 3,38</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R$ 4,70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R$ 4,80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R$ 5,30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R$ 5,55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R$ 5,2860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10.572,00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34</w:t>
            </w:r>
            <w:r>
              <w:rPr>
                <w:rFonts w:eastAsia="Aptos Narrow"/>
                <w:color w:val="000000"/>
                <w:highlight w:val="green"/>
                <w:lang w:bidi="ar"/>
              </w:rPr>
            </w:r>
            <w:r>
              <w:rPr>
                <w:rFonts w:eastAsia="Aptos Narrow"/>
                <w:color w:val="000000"/>
                <w:highlight w:val="green"/>
                <w:lang w:bidi="ar"/>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val="en-US" w:bidi="ar"/>
              </w:rPr>
            </w:pPr>
            <w:r>
              <w:rPr>
                <w:rFonts w:eastAsia="SimSun"/>
                <w:color w:val="000000"/>
                <w:lang w:bidi="ar"/>
              </w:rPr>
              <w:t xml:space="preserve">SERRA ELÉTRICA MODELO TIC</w:t>
            </w:r>
            <w:r>
              <w:rPr>
                <w:rFonts w:eastAsia="SimSun"/>
                <w:color w:val="000000"/>
                <w:lang w:bidi="ar"/>
              </w:rPr>
              <w:t xml:space="preserve">O-TICO, POTÊNCIA DE NO MÍNIMO 650W, ROTAÇÃO DE 500 A 3100 RPM SEM CARGA, COM CAPACIDADE DE CORTE DE NO MÍNIMO: MADEIRA 120MM, ALUMÍNIO 20MM E AÇO 10MM. TENSÃO DE 220V OU BIVOLT. ACONDICIONADA EM EMBALAGEM ADEQUADA PARA O TRANSPORTE. </w:t>
            </w:r>
            <w:r>
              <w:rPr>
                <w:rFonts w:eastAsia="SimSun"/>
                <w:color w:val="000000"/>
                <w:lang w:val="en-US" w:bidi="ar"/>
              </w:rPr>
              <w:t xml:space="preserve">MANUAL DE INSTRUÇÕES EM PORTUGUÊS E CERTIFICADO DE GARANTIA.</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R$ 556,50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R$ 562,00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R$ 630,00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R$ 858,00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R$ 944,99</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R$ 710,2980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 1.420,60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35</w:t>
            </w:r>
            <w:r>
              <w:rPr>
                <w:rFonts w:eastAsia="Aptos Narrow"/>
                <w:color w:val="000000"/>
                <w:highlight w:val="green"/>
                <w:lang w:bidi="ar"/>
              </w:rPr>
            </w:r>
            <w:r>
              <w:rPr>
                <w:rFonts w:eastAsia="Aptos Narrow"/>
                <w:color w:val="000000"/>
                <w:highlight w:val="green"/>
                <w:lang w:bidi="ar"/>
              </w:rPr>
            </w:r>
          </w:p>
        </w:tc>
        <w:tc>
          <w:tcPr>
            <w:gridSpan w:val="2"/>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SERRA ESQUADRIA 10", POTÊNCIA DE NO MÍNIMO 1650 WATTS, VOLTAGEM 127V OU BIVOLT. MANUAL DE INSTRUÇÕES EM PORTUGUÊS E CERTIFICADO D</w:t>
            </w:r>
            <w:r>
              <w:rPr>
                <w:rFonts w:eastAsia="SimSun"/>
                <w:color w:val="000000"/>
                <w:lang w:bidi="ar"/>
              </w:rPr>
              <w:t xml:space="preserve">E GARANTIA.</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R$ 1.501,00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R$ 1.518,28</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R$ 2.050,00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R$ 2.410,00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R$ 2.978,00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R$ 2.091,4560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4.182,91</w:t>
            </w:r>
            <w:r>
              <w:rPr>
                <w:rFonts w:eastAsia="Aptos Narrow"/>
                <w:color w:val="000000"/>
                <w:highlight w:val="green"/>
                <w:lang w:val="en-US" w:bidi="ar"/>
              </w:rPr>
            </w:r>
            <w:r>
              <w:rPr>
                <w:rFonts w:eastAsia="Aptos Narrow"/>
                <w:color w:val="000000"/>
                <w:highlight w:val="green"/>
                <w:lang w:val="en-US" w:bidi="ar"/>
              </w:rPr>
            </w:r>
          </w:p>
        </w:tc>
      </w:tr>
      <w:tr>
        <w:trPr>
          <w:gridAfter w:val="10"/>
          <w:trHeight w:val="300"/>
        </w:trPr>
        <w:tc>
          <w:tcPr>
            <w:gridSpan w:val="2"/>
            <w:tcBorders>
              <w:top w:val="single" w:color="000000" w:sz="2" w:space="0"/>
              <w:left w:val="single" w:color="000000" w:sz="2" w:space="0"/>
              <w:bottom w:val="single" w:color="000000" w:sz="2" w:space="0"/>
              <w:right w:val="single" w:color="000000" w:sz="2" w:space="0"/>
            </w:tcBorders>
            <w:tcW w:w="1653" w:type="dxa"/>
            <w:vAlign w:val="center"/>
            <w:textDirection w:val="lrTb"/>
            <w:noWrap/>
          </w:tcPr>
          <w:p>
            <w:pPr>
              <w:pStyle w:val="828"/>
              <w:pBdr/>
              <w:spacing/>
              <w:ind/>
              <w:jc w:val="center"/>
              <w:rPr>
                <w:rFonts w:eastAsia="Aptos Narrow"/>
                <w:b/>
                <w:bCs/>
                <w:color w:val="000000"/>
                <w:lang w:bidi="ar"/>
              </w:rPr>
            </w:pPr>
            <w:r>
              <w:rPr>
                <w:rFonts w:eastAsia="Aptos Narrow"/>
                <w:b/>
                <w:bCs/>
                <w:color w:val="000000"/>
                <w:lang w:bidi="ar"/>
              </w:rPr>
              <w:t xml:space="preserve">R$ 1.012.474,21</w:t>
            </w:r>
            <w:r>
              <w:rPr>
                <w:rFonts w:eastAsia="Aptos Narrow"/>
                <w:b/>
                <w:bCs/>
                <w:color w:val="000000"/>
                <w:lang w:bidi="ar"/>
              </w:rPr>
            </w:r>
          </w:p>
        </w:tc>
      </w:tr>
    </w:tbl>
    <w:p>
      <w:pPr>
        <w:pStyle w:val="828"/>
        <w:pBdr/>
        <w:spacing/>
        <w:ind/>
        <w:jc w:val="both"/>
        <w:rPr/>
      </w:pPr>
      <w:r/>
      <w:r/>
    </w:p>
    <w:p>
      <w:pPr>
        <w:pStyle w:val="828"/>
        <w:widowControl w:val="false"/>
        <w:numPr>
          <w:ilvl w:val="1"/>
          <w:numId w:val="22"/>
        </w:numPr>
        <w:pBdr/>
        <w:spacing/>
        <w:ind/>
        <w:jc w:val="both"/>
        <w:rPr/>
      </w:pPr>
      <w:r>
        <w:rPr>
          <w:rFonts w:eastAsia="SimSun"/>
        </w:rPr>
        <w:t xml:space="preserve">O co</w:t>
      </w:r>
      <w:r>
        <w:rPr>
          <w:rFonts w:eastAsia="SimSun"/>
        </w:rPr>
        <w:t xml:space="preserve">ntrato a ser firmado com o fornecedor vencedor será regido pelas disposições da Lei Federal nº 14.133/2021, em especial no que se refere aos contratos decorrentes do Sistema de Registro de Preços, quando aplicável. A natureza do objeto caracteriza-se como </w:t>
      </w:r>
      <w:r>
        <w:rPr>
          <w:rStyle w:val="902"/>
          <w:rFonts w:eastAsia="SimSun"/>
          <w:b w:val="0"/>
          <w:bCs w:val="0"/>
        </w:rPr>
        <w:t xml:space="preserve">aquisição de bens comuns</w:t>
      </w:r>
      <w:r>
        <w:rPr>
          <w:rFonts w:eastAsia="SimSun"/>
        </w:rPr>
        <w:t xml:space="preserve">, consistindo na aquisição de </w:t>
      </w:r>
      <w:r>
        <w:rPr>
          <w:rStyle w:val="902"/>
          <w:rFonts w:eastAsia="SimSun"/>
          <w:b w:val="0"/>
          <w:bCs w:val="0"/>
        </w:rPr>
        <w:t xml:space="preserve">equipamentos, ferramentas e materiais diversos para marcenaria</w:t>
      </w:r>
      <w:r>
        <w:rPr>
          <w:rFonts w:eastAsia="SimSun"/>
        </w:rPr>
        <w:t xml:space="preserve">, cujos </w:t>
      </w:r>
      <w:r>
        <w:rPr>
          <w:rFonts w:eastAsia="SimSun"/>
        </w:rPr>
        <w:t xml:space="preserve">padrões de desempenho, qualidade e especificações são usuais de mercado e podem ser definidos de forma objetiva neste Termo de Referência, razão pela qual a contratação se dará por meio de </w:t>
      </w:r>
      <w:r>
        <w:rPr>
          <w:rStyle w:val="902"/>
          <w:rFonts w:eastAsia="SimSun"/>
          <w:b w:val="0"/>
          <w:bCs w:val="0"/>
        </w:rPr>
        <w:t xml:space="preserve">Pregão Eletrônico</w:t>
      </w:r>
      <w:r>
        <w:rPr>
          <w:rFonts w:eastAsia="SimSun"/>
        </w:rPr>
        <w:t xml:space="preserve">, nos termos da legislação vigente.</w:t>
      </w:r>
      <w:r/>
    </w:p>
    <w:p>
      <w:pPr>
        <w:pStyle w:val="828"/>
        <w:widowControl w:val="false"/>
        <w:numPr>
          <w:ilvl w:val="1"/>
          <w:numId w:val="22"/>
        </w:numPr>
        <w:pBdr/>
        <w:spacing/>
        <w:ind/>
        <w:jc w:val="both"/>
        <w:rPr/>
      </w:pPr>
      <w:r>
        <w:rPr>
          <w:b/>
          <w:bCs/>
        </w:rPr>
        <w:t xml:space="preserve">O prazo de vigência da ata de registro de preços será de 12 (doze) meses</w:t>
      </w:r>
      <w:r>
        <w:t xml:space="preserve">, conforme o disposto no art. 84 da Lei nº 14.133/2021, contado a partir de sua assinatura, podendo ser prorrogado, desde que mantidas as condições vantajosas para a Administração.</w:t>
      </w:r>
      <w:r/>
    </w:p>
    <w:p>
      <w:pPr>
        <w:pStyle w:val="828"/>
        <w:widowControl w:val="false"/>
        <w:numPr>
          <w:ilvl w:val="1"/>
          <w:numId w:val="22"/>
        </w:numPr>
        <w:pBdr/>
        <w:spacing/>
        <w:ind/>
        <w:jc w:val="both"/>
        <w:rPr/>
      </w:pPr>
      <w:r>
        <w:t xml:space="preserve">O prazo de vigênc</w:t>
      </w:r>
      <w:r>
        <w:t xml:space="preserve">ia do futuro </w:t>
      </w:r>
      <w:r>
        <w:t xml:space="preserve">contrato será de 12 (doze) meses, contados da sua assinatura, podendo o mesmo ser prorrogado mediante interesse ou necessidade da Administração, ou a pedido da parte, devidamente justificada, e desde que o motivo apresentado seja aceito pela Administração.</w:t>
      </w:r>
      <w:r/>
    </w:p>
    <w:p>
      <w:pPr>
        <w:pStyle w:val="828"/>
        <w:widowControl w:val="false"/>
        <w:numPr>
          <w:ilvl w:val="1"/>
          <w:numId w:val="22"/>
        </w:numPr>
        <w:pBdr/>
        <w:spacing/>
        <w:ind/>
        <w:jc w:val="both"/>
        <w:rPr/>
      </w:pPr>
      <w:r>
        <w:t xml:space="preserve"> O prazo para liquidação será de </w:t>
      </w:r>
      <w:r>
        <w:t xml:space="preserve">30</w:t>
      </w:r>
      <w:r>
        <w:t xml:space="preserve"> (</w:t>
      </w:r>
      <w:r>
        <w:t xml:space="preserve">trinta</w:t>
      </w:r>
      <w:r>
        <w:t xml:space="preserve">) dias úteis, contados da apresentação da nota fiscal devidamente atestada.</w:t>
      </w:r>
      <w:r/>
    </w:p>
    <w:p>
      <w:pPr>
        <w:pStyle w:val="828"/>
        <w:pBdr/>
        <w:spacing/>
        <w:ind/>
        <w:jc w:val="both"/>
        <w:rPr/>
      </w:pPr>
      <w:r/>
      <w:r/>
    </w:p>
    <w:p>
      <w:pPr>
        <w:pStyle w:val="828"/>
        <w:pBdr/>
        <w:shd w:val="clear" w:color="auto" w:fill="cccccc"/>
        <w:spacing/>
        <w:ind/>
        <w:jc w:val="both"/>
        <w:rPr/>
      </w:pPr>
      <w:r>
        <w:rPr>
          <w:b/>
          <w:bCs/>
        </w:rPr>
        <w:t xml:space="preserve">2 – FUNDAMENTAÇÃO E DESCRIÇÃO DA NECESSIDADE DA CONTRATAÇÃO</w:t>
      </w:r>
      <w:r/>
    </w:p>
    <w:p>
      <w:pPr>
        <w:pStyle w:val="984"/>
        <w:pBdr/>
        <w:spacing/>
        <w:ind/>
        <w:jc w:val="both"/>
        <w:rPr>
          <w:sz w:val="20"/>
          <w:szCs w:val="20"/>
        </w:rPr>
      </w:pPr>
      <w:r>
        <w:rPr>
          <w:rStyle w:val="902"/>
          <w:sz w:val="20"/>
          <w:szCs w:val="20"/>
        </w:rPr>
        <w:t xml:space="preserve">2.1.</w:t>
      </w:r>
      <w:r>
        <w:rPr>
          <w:sz w:val="20"/>
          <w:szCs w:val="20"/>
        </w:rPr>
        <w:t xml:space="preserve"> A presente contratação está fundamentada nos Estudos Técn</w:t>
      </w:r>
      <w:r>
        <w:rPr>
          <w:sz w:val="20"/>
          <w:szCs w:val="20"/>
        </w:rPr>
        <w:t xml:space="preserve">icos Preliminares (ETP), elaborados em co</w:t>
      </w:r>
      <w:r>
        <w:rPr>
          <w:sz w:val="20"/>
          <w:szCs w:val="20"/>
        </w:rPr>
        <w:t xml:space="preserve">nformidade com as diretrizes da Lei Federal nº 14.133/2021 e com a Instrução Normativa vigente no âmbito desta Administração, os quais demonstram a necessidade, a viabilidade técnica e econômica e a adequação da solução escolhida para atender à demanda da </w:t>
      </w:r>
      <w:r>
        <w:rPr>
          <w:rStyle w:val="902"/>
          <w:b w:val="0"/>
          <w:bCs w:val="0"/>
          <w:sz w:val="20"/>
          <w:szCs w:val="20"/>
        </w:rPr>
        <w:t xml:space="preserve">Secretaria Municipal da Saúde</w:t>
      </w:r>
      <w:r>
        <w:rPr>
          <w:sz w:val="20"/>
          <w:szCs w:val="20"/>
        </w:rPr>
        <w:t xml:space="preserve">.</w:t>
      </w:r>
      <w:r>
        <w:rPr>
          <w:sz w:val="20"/>
          <w:szCs w:val="20"/>
        </w:rPr>
      </w:r>
    </w:p>
    <w:p>
      <w:pPr>
        <w:pStyle w:val="984"/>
        <w:pBdr/>
        <w:spacing/>
        <w:ind/>
        <w:jc w:val="both"/>
        <w:rPr>
          <w:sz w:val="20"/>
          <w:szCs w:val="20"/>
        </w:rPr>
      </w:pPr>
      <w:r>
        <w:rPr>
          <w:rStyle w:val="902"/>
          <w:sz w:val="20"/>
          <w:szCs w:val="20"/>
        </w:rPr>
        <w:t xml:space="preserve">2.2.</w:t>
      </w:r>
      <w:r>
        <w:rPr>
          <w:sz w:val="20"/>
          <w:szCs w:val="20"/>
        </w:rPr>
        <w:t xml:space="preserve"> Os Estudos Técnicos Preliminares apontaram como justificativa principal para a contratação a necessidade de </w:t>
      </w:r>
      <w:r>
        <w:rPr>
          <w:rStyle w:val="902"/>
          <w:b w:val="0"/>
          <w:bCs w:val="0"/>
          <w:sz w:val="20"/>
          <w:szCs w:val="20"/>
        </w:rPr>
        <w:t xml:space="preserve">aquisição de equipamentos, ferramentas e materiais diversos para marcen</w:t>
      </w:r>
      <w:r>
        <w:rPr>
          <w:rStyle w:val="902"/>
          <w:b w:val="0"/>
          <w:bCs w:val="0"/>
          <w:sz w:val="20"/>
          <w:szCs w:val="20"/>
        </w:rPr>
        <w:t xml:space="preserve">aria</w:t>
      </w:r>
      <w:r>
        <w:rPr>
          <w:sz w:val="20"/>
          <w:szCs w:val="20"/>
        </w:rPr>
        <w:t xml:space="preserve">, destinados a atender às atividades desenvolvidas pela Marcenaria da Secretaria Municipal da Saúde, a qual desempenha papel essencial na manutenção, reparo, adequação e fabrica</w:t>
      </w:r>
      <w:r>
        <w:rPr>
          <w:rStyle w:val="902"/>
          <w:b w:val="0"/>
          <w:bCs w:val="0"/>
          <w:sz w:val="20"/>
          <w:szCs w:val="20"/>
        </w:rPr>
        <w:t xml:space="preserve">ção de mobiliários e estruturas de apoio</w:t>
      </w:r>
      <w:r>
        <w:rPr>
          <w:sz w:val="20"/>
          <w:szCs w:val="20"/>
        </w:rPr>
        <w:t xml:space="preserve"> utilizados nas diversas unidades e</w:t>
      </w:r>
      <w:r>
        <w:rPr>
          <w:sz w:val="20"/>
          <w:szCs w:val="20"/>
        </w:rPr>
        <w:t xml:space="preserve"> de atendimento vinculadas à pasta. Tais atividades demandam equipamentos precisos, seguros e tecnicamente adequados, a fim de garantir a eficiência operacional, a qualidade técnica dos serviços executados e a segurança dos servidores envolvidos nas execuç</w:t>
      </w:r>
      <w:r>
        <w:rPr>
          <w:sz w:val="20"/>
          <w:szCs w:val="20"/>
        </w:rPr>
        <w:t xml:space="preserve">ões diárias.</w:t>
      </w:r>
      <w:r>
        <w:rPr>
          <w:sz w:val="20"/>
          <w:szCs w:val="20"/>
        </w:rPr>
      </w:r>
    </w:p>
    <w:p>
      <w:pPr>
        <w:pStyle w:val="828"/>
        <w:pBdr/>
        <w:spacing/>
        <w:ind/>
        <w:jc w:val="both"/>
        <w:rPr/>
      </w:pPr>
      <w:r/>
      <w:r/>
    </w:p>
    <w:p>
      <w:pPr>
        <w:pStyle w:val="828"/>
        <w:pBdr/>
        <w:shd w:val="clear" w:color="auto" w:fill="cccccc"/>
        <w:spacing/>
        <w:ind/>
        <w:jc w:val="both"/>
        <w:rPr/>
      </w:pPr>
      <w:r>
        <w:rPr>
          <w:b/>
          <w:bCs/>
        </w:rPr>
        <w:t xml:space="preserve">3 – DESCRIÇÃO DA SOLUÇÃO COMO UM TODO CONSIDERANDO O CICLO DE VIDA DO OBJETO</w:t>
      </w:r>
      <w:r/>
    </w:p>
    <w:p>
      <w:pPr>
        <w:pStyle w:val="984"/>
        <w:pBdr/>
        <w:spacing/>
        <w:ind/>
        <w:jc w:val="both"/>
        <w:rPr>
          <w:sz w:val="20"/>
          <w:szCs w:val="20"/>
        </w:rPr>
      </w:pPr>
      <w:r>
        <w:rPr>
          <w:b/>
          <w:bCs/>
          <w:sz w:val="20"/>
          <w:szCs w:val="20"/>
        </w:rPr>
        <w:t xml:space="preserve">3.1. </w:t>
      </w:r>
      <w:r>
        <w:rPr>
          <w:sz w:val="20"/>
          <w:szCs w:val="20"/>
        </w:rPr>
        <w:t xml:space="preserve">A solução proposta consiste na </w:t>
      </w:r>
      <w:r>
        <w:rPr>
          <w:rStyle w:val="902"/>
          <w:b w:val="0"/>
          <w:bCs w:val="0"/>
          <w:sz w:val="20"/>
          <w:szCs w:val="20"/>
        </w:rPr>
        <w:t xml:space="preserve">aquisição de equipamentos, ferramentas e materiais diversos para marcenaria</w:t>
      </w:r>
      <w:r>
        <w:rPr>
          <w:sz w:val="20"/>
          <w:szCs w:val="20"/>
        </w:rPr>
        <w:t xml:space="preserve">, destinados ao atendimento das demandas da Marcenaria da </w:t>
      </w:r>
      <w:r>
        <w:rPr>
          <w:rStyle w:val="902"/>
          <w:b w:val="0"/>
          <w:bCs w:val="0"/>
          <w:sz w:val="20"/>
          <w:szCs w:val="20"/>
        </w:rPr>
        <w:t xml:space="preserve">Secretaria Municipal da Saúde</w:t>
      </w:r>
      <w:r>
        <w:rPr>
          <w:sz w:val="20"/>
          <w:szCs w:val="20"/>
        </w:rPr>
        <w:t xml:space="preserve">, responsável pela manutenção, adequação e fabricação de mobiliários de apoio utilizados nas unidades e de atendimento vinculadas à pasta.</w:t>
      </w:r>
      <w:r>
        <w:rPr>
          <w:sz w:val="20"/>
          <w:szCs w:val="20"/>
        </w:rPr>
      </w:r>
    </w:p>
    <w:p>
      <w:pPr>
        <w:pStyle w:val="984"/>
        <w:pBdr/>
        <w:spacing/>
        <w:ind/>
        <w:jc w:val="both"/>
        <w:rPr>
          <w:sz w:val="20"/>
          <w:szCs w:val="20"/>
        </w:rPr>
      </w:pPr>
      <w:r>
        <w:rPr>
          <w:b/>
          <w:bCs/>
          <w:sz w:val="20"/>
          <w:szCs w:val="20"/>
        </w:rPr>
        <w:t xml:space="preserve">3.2.</w:t>
      </w:r>
      <w:r>
        <w:rPr>
          <w:sz w:val="20"/>
          <w:szCs w:val="20"/>
        </w:rPr>
        <w:t xml:space="preserve"> Os bens a serem adquiridos deverão ser novos, de primeiro uso, com especificaçõ</w:t>
      </w:r>
      <w:r>
        <w:rPr>
          <w:sz w:val="20"/>
          <w:szCs w:val="20"/>
        </w:rPr>
        <w:t xml:space="preserve">es técnicas compatíveis com os padrões usuais de mercado, assegurando desempenho adequado, segurança, durabilidade e q</w:t>
      </w:r>
      <w:r>
        <w:rPr>
          <w:sz w:val="20"/>
          <w:szCs w:val="20"/>
        </w:rPr>
        <w:t xml:space="preserve">ualidade técnica ao longo de sua vida útil. A solução considera todas as etapas do ciclo de vida do objeto, abrangendo a aquisição, o recebimento, a utilização, a manutenção e o descarte final, em conformidade com as normas internas e a legislação vigente.</w:t>
      </w:r>
      <w:r>
        <w:rPr>
          <w:sz w:val="20"/>
          <w:szCs w:val="20"/>
        </w:rPr>
      </w:r>
    </w:p>
    <w:p>
      <w:pPr>
        <w:pStyle w:val="984"/>
        <w:pBdr/>
        <w:spacing/>
        <w:ind/>
        <w:jc w:val="both"/>
        <w:rPr>
          <w:sz w:val="20"/>
          <w:szCs w:val="20"/>
        </w:rPr>
      </w:pPr>
      <w:r>
        <w:rPr>
          <w:b/>
          <w:bCs/>
          <w:sz w:val="20"/>
          <w:szCs w:val="20"/>
        </w:rPr>
        <w:t xml:space="preserve">3.3.</w:t>
      </w:r>
      <w:r>
        <w:rPr>
          <w:sz w:val="20"/>
          <w:szCs w:val="20"/>
        </w:rPr>
        <w:t xml:space="preserve"> Dessa forma, a contratação visa garantir eficiência operacional, economicidade e continuidade das atividades desenvolvidas pela Secr</w:t>
      </w:r>
      <w:r>
        <w:rPr>
          <w:sz w:val="20"/>
          <w:szCs w:val="20"/>
        </w:rPr>
        <w:t xml:space="preserve">etaria Municipal da Saúde, com adequada gestão dos recursos públicos.</w:t>
      </w:r>
      <w:r>
        <w:rPr>
          <w:sz w:val="20"/>
          <w:szCs w:val="20"/>
        </w:rPr>
      </w:r>
    </w:p>
    <w:p>
      <w:pPr>
        <w:pStyle w:val="828"/>
        <w:pBdr/>
        <w:shd w:val="clear" w:color="auto" w:fill="cccccc"/>
        <w:spacing/>
        <w:ind/>
        <w:jc w:val="both"/>
        <w:rPr/>
      </w:pPr>
      <w:r>
        <w:rPr>
          <w:b/>
          <w:bCs/>
        </w:rPr>
        <w:t xml:space="preserve">4 – REQUISITOS DA CONTRATAÇÃO</w:t>
      </w:r>
      <w:r/>
    </w:p>
    <w:p>
      <w:pPr>
        <w:pStyle w:val="828"/>
        <w:pBdr/>
        <w:spacing/>
        <w:ind/>
        <w:jc w:val="both"/>
        <w:rPr>
          <w:b/>
          <w:bCs/>
        </w:rPr>
      </w:pPr>
      <w:r>
        <w:rPr>
          <w:b/>
          <w:bCs/>
        </w:rPr>
      </w:r>
      <w:r>
        <w:rPr>
          <w:b/>
          <w:bCs/>
        </w:rPr>
      </w:r>
    </w:p>
    <w:p>
      <w:pPr>
        <w:pStyle w:val="828"/>
        <w:pBdr/>
        <w:spacing/>
        <w:ind/>
        <w:jc w:val="both"/>
        <w:rPr>
          <w:b/>
          <w:bCs/>
        </w:rPr>
      </w:pPr>
      <w:r>
        <w:rPr>
          <w:b/>
          <w:bCs/>
        </w:rPr>
        <w:t xml:space="preserve">4.1. Objeto e Finalidade: </w:t>
      </w:r>
      <w:r>
        <w:rPr>
          <w:b/>
          <w:bCs/>
        </w:rPr>
      </w:r>
    </w:p>
    <w:p>
      <w:pPr>
        <w:pStyle w:val="984"/>
        <w:pBdr/>
        <w:spacing/>
        <w:ind/>
        <w:jc w:val="both"/>
        <w:rPr>
          <w:sz w:val="20"/>
          <w:szCs w:val="20"/>
        </w:rPr>
      </w:pPr>
      <w:r>
        <w:rPr>
          <w:b/>
          <w:bCs/>
          <w:sz w:val="20"/>
          <w:szCs w:val="20"/>
        </w:rPr>
        <w:t xml:space="preserve">4.1.1. </w:t>
      </w:r>
      <w:r>
        <w:rPr>
          <w:sz w:val="20"/>
          <w:szCs w:val="20"/>
        </w:rPr>
        <w:t xml:space="preserve">A presente contratação tem por objeto a </w:t>
      </w:r>
      <w:r>
        <w:rPr>
          <w:rStyle w:val="902"/>
          <w:b w:val="0"/>
          <w:bCs w:val="0"/>
          <w:sz w:val="20"/>
          <w:szCs w:val="20"/>
        </w:rPr>
        <w:t xml:space="preserve">aquisição de equipamentos, ferramentas e materiais diversos para marcenaria</w:t>
      </w:r>
      <w:r>
        <w:rPr>
          <w:sz w:val="20"/>
          <w:szCs w:val="20"/>
        </w:rPr>
        <w:t xml:space="preserve">, destinados a atender às atividades da Marcenaria da </w:t>
      </w:r>
      <w:r>
        <w:rPr>
          <w:rStyle w:val="902"/>
          <w:b w:val="0"/>
          <w:bCs w:val="0"/>
          <w:sz w:val="20"/>
          <w:szCs w:val="20"/>
        </w:rPr>
        <w:t xml:space="preserve">Secretaria Municipal da Saúde</w:t>
      </w:r>
      <w:r>
        <w:rPr>
          <w:sz w:val="20"/>
          <w:szCs w:val="20"/>
        </w:rPr>
        <w:t xml:space="preserve">, responsáveis pela manutenção, reparo, adequação e fabricação de mobiliários utilizados nas unidades e de atendimento vinculadas à pasta.</w:t>
      </w:r>
      <w:r>
        <w:rPr>
          <w:sz w:val="20"/>
          <w:szCs w:val="20"/>
        </w:rPr>
      </w:r>
    </w:p>
    <w:p>
      <w:pPr>
        <w:pStyle w:val="984"/>
        <w:pBdr/>
        <w:spacing/>
        <w:ind/>
        <w:jc w:val="both"/>
        <w:rPr>
          <w:sz w:val="20"/>
          <w:szCs w:val="20"/>
        </w:rPr>
      </w:pPr>
      <w:r>
        <w:rPr>
          <w:b/>
          <w:bCs/>
          <w:sz w:val="20"/>
          <w:szCs w:val="20"/>
        </w:rPr>
        <w:t xml:space="preserve">4.1.2.</w:t>
      </w:r>
      <w:r>
        <w:rPr>
          <w:sz w:val="20"/>
          <w:szCs w:val="20"/>
        </w:rPr>
        <w:t xml:space="preserve"> A finalidade da contratação é gar</w:t>
      </w:r>
      <w:r>
        <w:rPr>
          <w:sz w:val="20"/>
          <w:szCs w:val="20"/>
        </w:rPr>
        <w:t xml:space="preserve">antir a </w:t>
      </w:r>
      <w:r>
        <w:rPr>
          <w:rStyle w:val="902"/>
          <w:b w:val="0"/>
          <w:bCs w:val="0"/>
          <w:sz w:val="20"/>
          <w:szCs w:val="20"/>
        </w:rPr>
        <w:t xml:space="preserve">eficiência operacional, a qualidade técnica dos serviços e a segurança dos servidores</w:t>
      </w:r>
      <w:r>
        <w:rPr>
          <w:sz w:val="20"/>
          <w:szCs w:val="20"/>
        </w:rPr>
        <w:t xml:space="preserve">, assegurando que a Marcenaria disponha de recursos adequados para atender às demandas institucionais de forma contínua e sustentável.</w:t>
      </w:r>
      <w:r>
        <w:rPr>
          <w:sz w:val="20"/>
          <w:szCs w:val="20"/>
        </w:rPr>
      </w:r>
    </w:p>
    <w:p>
      <w:pPr>
        <w:pStyle w:val="828"/>
        <w:pBdr/>
        <w:spacing/>
        <w:ind/>
        <w:jc w:val="both"/>
        <w:rPr>
          <w:b/>
          <w:bCs/>
        </w:rPr>
      </w:pPr>
      <w:r>
        <w:rPr>
          <w:b/>
          <w:bCs/>
        </w:rPr>
        <w:t xml:space="preserve">4.2. Condições de Fornecimento e Prazo de Entrega:</w:t>
      </w:r>
      <w:r>
        <w:rPr>
          <w:b/>
          <w:bCs/>
        </w:rPr>
      </w:r>
    </w:p>
    <w:p>
      <w:pPr>
        <w:pStyle w:val="828"/>
        <w:pBdr/>
        <w:spacing/>
        <w:ind/>
        <w:jc w:val="both"/>
        <w:rPr>
          <w:b/>
          <w:bCs/>
        </w:rPr>
      </w:pPr>
      <w:r>
        <w:rPr>
          <w:b/>
          <w:bCs/>
        </w:rPr>
        <w:t xml:space="preserve">4.2.1. Prazo de Entrega:</w:t>
      </w:r>
      <w:r>
        <w:rPr>
          <w:b/>
          <w:bCs/>
        </w:rPr>
      </w:r>
    </w:p>
    <w:p>
      <w:pPr>
        <w:pStyle w:val="828"/>
        <w:pBdr/>
        <w:spacing/>
        <w:ind/>
        <w:jc w:val="both"/>
        <w:rPr>
          <w:b/>
          <w:bCs/>
        </w:rPr>
      </w:pPr>
      <w:r>
        <w:rPr>
          <w:b/>
          <w:bCs/>
        </w:rPr>
        <w:t xml:space="preserve">4.2.1.1. </w:t>
      </w:r>
      <w:r>
        <w:rPr>
          <w:rFonts w:eastAsia="SimSun"/>
        </w:rPr>
        <w:t xml:space="preserve">Os equipamentos, ferramentas e materiais diversos para marcenaria deverão ser entregues </w:t>
      </w:r>
      <w:r>
        <w:rPr>
          <w:rStyle w:val="902"/>
          <w:rFonts w:eastAsia="SimSun"/>
          <w:b w:val="0"/>
          <w:bCs w:val="0"/>
        </w:rPr>
        <w:t xml:space="preserve">no prazo máximo de </w:t>
      </w:r>
      <w:r>
        <w:rPr>
          <w:rStyle w:val="902"/>
          <w:rFonts w:eastAsia="SimSun"/>
        </w:rPr>
        <w:t xml:space="preserve">30(trinta)</w:t>
      </w:r>
      <w:r>
        <w:rPr>
          <w:rStyle w:val="902"/>
          <w:rFonts w:eastAsia="SimSun"/>
          <w:b w:val="0"/>
          <w:bCs w:val="0"/>
        </w:rPr>
        <w:t xml:space="preserve"> </w:t>
      </w:r>
      <w:r>
        <w:rPr>
          <w:rStyle w:val="902"/>
          <w:rFonts w:eastAsia="SimSun"/>
        </w:rPr>
        <w:t xml:space="preserve">dias corridos</w:t>
      </w:r>
      <w:r>
        <w:rPr>
          <w:rFonts w:eastAsia="SimSun"/>
        </w:rPr>
        <w:t xml:space="preserve">, contados a partir da assinatura do contrato ou da emissão da ordem</w:t>
      </w:r>
      <w:r>
        <w:rPr>
          <w:rFonts w:eastAsia="SimSun"/>
        </w:rPr>
        <w:t xml:space="preserve"> de fornecimento, em conformidade com a programação definida pela Secretaria Municipal da Saúde. A entrega deverá ocorrer no endereço indicado pelo Contratante, garantindo condições adequadas de transporte e armazenamento.</w:t>
      </w:r>
      <w:r>
        <w:rPr>
          <w:b/>
          <w:bCs/>
        </w:rPr>
      </w:r>
      <w:r>
        <w:rPr>
          <w:b/>
          <w:bCs/>
        </w:rPr>
      </w:r>
    </w:p>
    <w:p>
      <w:pPr>
        <w:pStyle w:val="828"/>
        <w:pBdr/>
        <w:spacing/>
        <w:ind/>
        <w:rPr/>
      </w:pPr>
      <w:r>
        <w:rPr>
          <w:b/>
          <w:bCs/>
        </w:rPr>
        <w:t xml:space="preserve">4.2.2. Da indicação de marcas ou modelos:</w:t>
      </w:r>
      <w:r/>
    </w:p>
    <w:p>
      <w:pPr>
        <w:pStyle w:val="828"/>
        <w:pBdr/>
        <w:spacing/>
        <w:ind/>
        <w:jc w:val="both"/>
        <w:rPr/>
      </w:pPr>
      <w:r>
        <w:rPr>
          <w:b/>
          <w:bCs/>
        </w:rPr>
        <w:t xml:space="preserve">4.2.2.1. </w:t>
      </w:r>
      <w:r>
        <w:rPr>
          <w:rFonts w:eastAsia="SimSun"/>
        </w:rPr>
        <w:t xml:space="preserve">Não será exigida indicação de marcas ou modelos específicos, desde que os equipamentos, ferramentas e materiais atendam integralmente às especificações técnicas e de desempenho previstas neste Termo de Referência.</w:t>
      </w:r>
      <w:r/>
    </w:p>
    <w:p>
      <w:pPr>
        <w:pStyle w:val="828"/>
        <w:pBdr/>
        <w:spacing/>
        <w:ind/>
        <w:rPr/>
      </w:pPr>
      <w:r>
        <w:rPr>
          <w:b/>
          <w:bCs/>
        </w:rPr>
        <w:t xml:space="preserve">4.2.3. Das amostras: </w:t>
      </w:r>
      <w:r/>
    </w:p>
    <w:p>
      <w:pPr>
        <w:pStyle w:val="828"/>
        <w:pBdr/>
        <w:spacing/>
        <w:ind/>
        <w:jc w:val="both"/>
        <w:rPr/>
      </w:pPr>
      <w:r>
        <w:rPr>
          <w:b/>
          <w:bCs/>
        </w:rPr>
        <w:t xml:space="preserve">4.</w:t>
      </w:r>
      <w:r>
        <w:rPr>
          <w:b/>
          <w:bCs/>
        </w:rPr>
        <w:t xml:space="preserve">2.3.1. </w:t>
      </w:r>
      <w:r>
        <w:rPr>
          <w:rFonts w:eastAsia="SimSun"/>
        </w:rPr>
        <w:t xml:space="preserve">Não será exigida a apresentação de amostras, desde que os produtos fornecidos estejam em conformidade com as especificações técnicas e funcionais definidas neste Termo de Referência.</w:t>
      </w:r>
      <w:r/>
    </w:p>
    <w:p>
      <w:pPr>
        <w:pStyle w:val="828"/>
        <w:pBdr/>
        <w:spacing/>
        <w:ind/>
        <w:rPr/>
      </w:pPr>
      <w:r>
        <w:rPr>
          <w:b/>
          <w:bCs/>
        </w:rPr>
        <w:t xml:space="preserve">4.3. Subcontratação:</w:t>
      </w:r>
      <w:r/>
    </w:p>
    <w:p>
      <w:pPr>
        <w:pStyle w:val="828"/>
        <w:pBdr/>
        <w:spacing/>
        <w:ind/>
        <w:jc w:val="both"/>
        <w:rPr/>
      </w:pPr>
      <w:r>
        <w:rPr>
          <w:b/>
          <w:bCs/>
        </w:rPr>
        <w:t xml:space="preserve">4.3.1. </w:t>
      </w:r>
      <w:r>
        <w:t xml:space="preserve">É vedada a subcontratação total ou parcial do objeto, exceto na hipótese de serviço secundário que não integre a essência do objeto, desde que expressamente autorizada pelo Contratante, mantida em qualquer caso a integral responsabilidade da Contratada.</w:t>
      </w:r>
      <w:r/>
    </w:p>
    <w:p>
      <w:pPr>
        <w:pStyle w:val="828"/>
        <w:pBdr/>
        <w:spacing/>
        <w:ind/>
        <w:jc w:val="both"/>
        <w:rPr>
          <w:b/>
          <w:bCs/>
        </w:rPr>
      </w:pPr>
      <w:r>
        <w:rPr>
          <w:b/>
          <w:bCs/>
        </w:rPr>
        <w:t xml:space="preserve">4.4. Garantia do serviço/contratação/aqu</w:t>
      </w:r>
      <w:r>
        <w:rPr>
          <w:b/>
          <w:bCs/>
        </w:rPr>
        <w:t xml:space="preserve">isição:</w:t>
      </w:r>
      <w:r>
        <w:rPr>
          <w:b/>
          <w:bCs/>
        </w:rPr>
      </w:r>
    </w:p>
    <w:p>
      <w:pPr>
        <w:pStyle w:val="984"/>
        <w:pBdr/>
        <w:spacing/>
        <w:ind/>
        <w:jc w:val="both"/>
        <w:rPr>
          <w:sz w:val="20"/>
          <w:szCs w:val="20"/>
        </w:rPr>
      </w:pPr>
      <w:r>
        <w:rPr>
          <w:rStyle w:val="902"/>
          <w:sz w:val="20"/>
          <w:szCs w:val="20"/>
        </w:rPr>
        <w:t xml:space="preserve">4.4.1.</w:t>
      </w:r>
      <w:r>
        <w:rPr>
          <w:sz w:val="20"/>
          <w:szCs w:val="20"/>
        </w:rPr>
        <w:t xml:space="preserve"> Todos os equipamentos e ferramentas devem contar com </w:t>
      </w:r>
      <w:r>
        <w:rPr>
          <w:rStyle w:val="902"/>
          <w:b w:val="0"/>
          <w:bCs w:val="0"/>
          <w:sz w:val="20"/>
          <w:szCs w:val="20"/>
        </w:rPr>
        <w:t xml:space="preserve">garantia mínima de 12(doze) meses</w:t>
      </w:r>
      <w:r>
        <w:rPr>
          <w:sz w:val="20"/>
          <w:szCs w:val="20"/>
        </w:rPr>
        <w:t xml:space="preserve">, cobrindo defeitos de fabricação e falhas de desempenho.</w:t>
      </w:r>
      <w:r>
        <w:rPr>
          <w:sz w:val="20"/>
          <w:szCs w:val="20"/>
        </w:rPr>
      </w:r>
    </w:p>
    <w:p>
      <w:pPr>
        <w:pStyle w:val="984"/>
        <w:pBdr/>
        <w:spacing/>
        <w:ind/>
        <w:jc w:val="both"/>
        <w:rPr>
          <w:sz w:val="20"/>
          <w:szCs w:val="20"/>
        </w:rPr>
      </w:pPr>
      <w:r>
        <w:rPr>
          <w:b/>
          <w:bCs/>
          <w:sz w:val="20"/>
          <w:szCs w:val="20"/>
        </w:rPr>
        <w:t xml:space="preserve">4.4.2.</w:t>
      </w:r>
      <w:r>
        <w:rPr>
          <w:sz w:val="20"/>
          <w:szCs w:val="20"/>
        </w:rPr>
        <w:t xml:space="preserve"> Os materiais de insumos e/ou consumos devem contar com garantia mínima de 90(noventa) dias, cobrindo defeitos de fabricação.</w:t>
      </w:r>
      <w:r>
        <w:rPr>
          <w:sz w:val="20"/>
          <w:szCs w:val="20"/>
        </w:rPr>
      </w:r>
    </w:p>
    <w:p>
      <w:pPr>
        <w:pStyle w:val="828"/>
        <w:pBdr/>
        <w:spacing/>
        <w:ind/>
        <w:jc w:val="both"/>
        <w:rPr/>
      </w:pPr>
      <w:r>
        <w:rPr>
          <w:rStyle w:val="902"/>
        </w:rPr>
        <w:t xml:space="preserve">4.4.3.</w:t>
      </w:r>
      <w:r>
        <w:t xml:space="preserve"> O fornecedor deverá fornecer manual de operação, instruções de uso e manutenção preventiva, bem como assegurar assistência técnica durante o período de garantia. Em caso de constatação de defeito, o reparo deverá s</w:t>
      </w:r>
      <w:r>
        <w:t xml:space="preserve">er concluído no prazo máximo de 1</w:t>
      </w:r>
      <w:r>
        <w:t xml:space="preserve">0</w:t>
      </w:r>
      <w:r>
        <w:t xml:space="preserve"> (</w:t>
      </w:r>
      <w:r>
        <w:t xml:space="preserve">dez</w:t>
      </w:r>
      <w:r>
        <w:t xml:space="preserve">) dias úteis a contar da comunicação formal. Caso o reparo não seja satisfatório, a substituição definitiva do equipamento ocorrerá no prazo máximo de 10 (dez) dias úteis, sem ônus adicional para o Contratante.</w:t>
      </w:r>
      <w:r/>
    </w:p>
    <w:p>
      <w:pPr>
        <w:pStyle w:val="984"/>
        <w:pBdr/>
        <w:spacing/>
        <w:ind/>
        <w:jc w:val="both"/>
        <w:rPr>
          <w:sz w:val="20"/>
          <w:szCs w:val="20"/>
        </w:rPr>
      </w:pPr>
      <w:r>
        <w:rPr>
          <w:rStyle w:val="902"/>
          <w:sz w:val="20"/>
          <w:szCs w:val="20"/>
        </w:rPr>
        <w:t xml:space="preserve">4.4.4.</w:t>
      </w:r>
      <w:r>
        <w:rPr>
          <w:sz w:val="20"/>
          <w:szCs w:val="20"/>
        </w:rPr>
        <w:t xml:space="preserve"> A garantia se aplica a todos os itens adquiridos, incluindo materiais de reposição e componentes essenciais para o correto funcionamento dos equipamentos e ferramentas de marcenaria.</w:t>
      </w:r>
      <w:r>
        <w:rPr>
          <w:sz w:val="20"/>
          <w:szCs w:val="20"/>
        </w:rPr>
      </w:r>
    </w:p>
    <w:p>
      <w:pPr>
        <w:pStyle w:val="1103"/>
        <w:numPr>
          <w:ilvl w:val="0"/>
          <w:numId w:val="0"/>
        </w:numPr>
        <w:pBdr/>
        <w:tabs>
          <w:tab w:val="left" w:leader="none" w:pos="2271"/>
        </w:tabs>
        <w:spacing/>
        <w:ind/>
        <w:jc w:val="both"/>
        <w:rPr>
          <w:rFonts w:cs="Times New Roman"/>
          <w:sz w:val="20"/>
        </w:rPr>
      </w:pPr>
      <w:r>
        <w:rPr>
          <w:rFonts w:cs="Times New Roman"/>
          <w:b/>
          <w:bCs/>
          <w:color w:val="000000"/>
          <w:sz w:val="20"/>
        </w:rPr>
        <w:t xml:space="preserve">4.5. Local de entrega:</w:t>
      </w:r>
      <w:r>
        <w:rPr>
          <w:rFonts w:cs="Times New Roman"/>
          <w:sz w:val="20"/>
        </w:rPr>
      </w:r>
      <w:r>
        <w:rPr>
          <w:rFonts w:cs="Times New Roman"/>
          <w:sz w:val="20"/>
        </w:rPr>
      </w:r>
    </w:p>
    <w:p>
      <w:pPr>
        <w:pStyle w:val="1103"/>
        <w:numPr>
          <w:ilvl w:val="0"/>
          <w:numId w:val="0"/>
        </w:numPr>
        <w:pBdr/>
        <w:tabs>
          <w:tab w:val="left" w:leader="none" w:pos="2271"/>
        </w:tabs>
        <w:spacing/>
        <w:ind/>
        <w:jc w:val="both"/>
        <w:rPr>
          <w:rFonts w:cs="Times New Roman"/>
          <w:sz w:val="20"/>
        </w:rPr>
      </w:pPr>
      <w:r>
        <w:rPr>
          <w:rFonts w:cs="Times New Roman"/>
          <w:b/>
          <w:bCs/>
          <w:sz w:val="20"/>
        </w:rPr>
        <w:t xml:space="preserve">4.5.1.</w:t>
      </w:r>
      <w:r>
        <w:rPr>
          <w:rFonts w:cs="Times New Roman"/>
          <w:sz w:val="20"/>
        </w:rPr>
        <w:t xml:space="preserve"> O(s) produto(s) deverá(ão) ser descarregad</w:t>
      </w:r>
      <w:r>
        <w:rPr>
          <w:rFonts w:cs="Times New Roman"/>
          <w:sz w:val="20"/>
        </w:rPr>
        <w:t xml:space="preserve">o(s) e entregue(s) no </w:t>
      </w:r>
      <w:r>
        <w:rPr>
          <w:rFonts w:cs="Times New Roman"/>
          <w:b/>
          <w:bCs/>
          <w:sz w:val="20"/>
        </w:rPr>
        <w:t xml:space="preserve">ALMOXARIFADO DA SECRETARIA MUNICIPAL DE SAÚDE seguindo o itinerário: segunda a sexta feira das 07:00 às 11:00 horas e das 13:00 às 17:00 horas, no endereço: Av. Angelo Thum, 181 - Jardim Monte Libano, Rondonópolis - MT, 78710-272. </w:t>
      </w:r>
      <w:r>
        <w:rPr>
          <w:rFonts w:cs="Times New Roman"/>
          <w:sz w:val="20"/>
        </w:rPr>
      </w:r>
      <w:r>
        <w:rPr>
          <w:rFonts w:cs="Times New Roman"/>
          <w:sz w:val="20"/>
        </w:rPr>
      </w:r>
    </w:p>
    <w:p>
      <w:pPr>
        <w:pStyle w:val="1103"/>
        <w:numPr>
          <w:ilvl w:val="0"/>
          <w:numId w:val="0"/>
        </w:numPr>
        <w:pBdr/>
        <w:tabs>
          <w:tab w:val="left" w:leader="none" w:pos="2271"/>
        </w:tabs>
        <w:spacing/>
        <w:ind/>
        <w:jc w:val="both"/>
        <w:rPr>
          <w:rFonts w:cs="Times New Roman"/>
          <w:b/>
          <w:bCs/>
          <w:color w:val="000000"/>
          <w:sz w:val="20"/>
        </w:rPr>
      </w:pPr>
      <w:r>
        <w:rPr>
          <w:rFonts w:cs="Times New Roman"/>
          <w:b/>
          <w:bCs/>
          <w:color w:val="000000"/>
          <w:sz w:val="20"/>
        </w:rPr>
        <w:t xml:space="preserve">4.6. Critérios de ordem técnica:</w:t>
      </w:r>
      <w:r>
        <w:rPr>
          <w:rFonts w:cs="Times New Roman"/>
          <w:b/>
          <w:bCs/>
          <w:color w:val="000000"/>
          <w:sz w:val="20"/>
        </w:rPr>
      </w:r>
    </w:p>
    <w:p>
      <w:pPr>
        <w:pStyle w:val="1103"/>
        <w:numPr>
          <w:ilvl w:val="0"/>
          <w:numId w:val="0"/>
        </w:numPr>
        <w:pBdr/>
        <w:tabs>
          <w:tab w:val="left" w:leader="none" w:pos="2271"/>
        </w:tabs>
        <w:spacing/>
        <w:ind/>
        <w:jc w:val="both"/>
        <w:rPr>
          <w:rFonts w:eastAsia="SimSun"/>
          <w:sz w:val="20"/>
        </w:rPr>
      </w:pPr>
      <w:r>
        <w:rPr>
          <w:rFonts w:eastAsia="SimSun" w:cs="Times New Roman"/>
          <w:b/>
          <w:bCs/>
          <w:sz w:val="20"/>
        </w:rPr>
        <w:t xml:space="preserve">4.6.1.</w:t>
      </w:r>
      <w:r>
        <w:rPr>
          <w:rFonts w:eastAsia="SimSun" w:cs="Times New Roman"/>
          <w:sz w:val="20"/>
        </w:rPr>
        <w:t xml:space="preserve"> </w:t>
      </w:r>
      <w:r>
        <w:rPr>
          <w:rFonts w:eastAsia="SimSun"/>
          <w:sz w:val="20"/>
        </w:rPr>
        <w:t xml:space="preserve">Os equipamentos, ferramentas e materiais a serem fornecidos devem atender integralmente às especificações previstas neste Termo de Referência, ser próprios para as atividades de corte, montagem, acabamento, instalação,</w:t>
      </w:r>
      <w:r>
        <w:rPr>
          <w:rFonts w:eastAsia="SimSun"/>
          <w:sz w:val="20"/>
        </w:rPr>
        <w:t xml:space="preserve"> adaptação e manutenção de móveis planejados, e garantir segurança e ergonomia aos </w:t>
      </w:r>
      <w:r>
        <w:rPr>
          <w:rFonts w:eastAsia="SimSun"/>
          <w:sz w:val="20"/>
        </w:rPr>
        <w:t xml:space="preserve">usuários. Devem apresentar durabilidade compatível com a rotina da marcenaria e com a utilização pela equipe composta por 06 marceneiros, assegurando produtividade, continuidade operacional e qualidade técnica nos serviços executados nas unidades de saúde.</w:t>
      </w:r>
      <w:r>
        <w:rPr>
          <w:rFonts w:eastAsia="SimSun"/>
          <w:sz w:val="20"/>
        </w:rPr>
      </w:r>
    </w:p>
    <w:p>
      <w:pPr>
        <w:pStyle w:val="1103"/>
        <w:numPr>
          <w:ilvl w:val="0"/>
          <w:numId w:val="0"/>
        </w:numPr>
        <w:pBdr/>
        <w:tabs>
          <w:tab w:val="left" w:leader="none" w:pos="2271"/>
        </w:tabs>
        <w:spacing/>
        <w:ind/>
        <w:jc w:val="both"/>
        <w:rPr>
          <w:rFonts w:eastAsia="SimSun"/>
          <w:sz w:val="20"/>
        </w:rPr>
      </w:pPr>
      <w:r>
        <w:rPr>
          <w:rFonts w:eastAsia="SimSun"/>
          <w:sz w:val="20"/>
        </w:rPr>
      </w:r>
      <w:r>
        <w:rPr>
          <w:rFonts w:eastAsia="SimSun"/>
          <w:sz w:val="20"/>
        </w:rPr>
      </w:r>
    </w:p>
    <w:p>
      <w:pPr>
        <w:pStyle w:val="828"/>
        <w:pBdr/>
        <w:shd w:val="clear" w:color="auto" w:fill="cccccc"/>
        <w:spacing/>
        <w:ind/>
        <w:jc w:val="both"/>
        <w:rPr/>
      </w:pPr>
      <w:r>
        <w:rPr>
          <w:b/>
          <w:bCs/>
        </w:rPr>
        <w:t xml:space="preserve">5 – MODELO DE EXECUÇÃO DO OBJETO</w:t>
      </w:r>
      <w:r/>
    </w:p>
    <w:p>
      <w:pPr>
        <w:pStyle w:val="828"/>
        <w:pBdr/>
        <w:spacing/>
        <w:ind/>
        <w:jc w:val="both"/>
        <w:rPr>
          <w:b/>
          <w:bCs/>
        </w:rPr>
      </w:pPr>
      <w:r>
        <w:rPr>
          <w:b/>
          <w:bCs/>
        </w:rPr>
      </w:r>
      <w:r>
        <w:rPr>
          <w:b/>
          <w:bCs/>
        </w:rPr>
      </w:r>
    </w:p>
    <w:p>
      <w:pPr>
        <w:pStyle w:val="828"/>
        <w:pBdr/>
        <w:spacing/>
        <w:ind/>
        <w:jc w:val="both"/>
        <w:rPr/>
      </w:pPr>
      <w:r>
        <w:rPr>
          <w:b/>
          <w:bCs/>
        </w:rPr>
        <w:t xml:space="preserve">5.1.Forma de fornecimento e condições de entrega:</w:t>
      </w:r>
      <w:r/>
    </w:p>
    <w:p>
      <w:pPr>
        <w:pStyle w:val="828"/>
        <w:pBdr/>
        <w:spacing/>
        <w:ind/>
        <w:jc w:val="both"/>
        <w:rPr/>
      </w:pPr>
      <w:r>
        <w:rPr>
          <w:b/>
          <w:bCs/>
        </w:rPr>
        <w:t xml:space="preserve">5.1.1. </w:t>
      </w:r>
      <w:r>
        <w:t xml:space="preserve">O início da execução do fornecimento dar-se-á a partir do efetivo recebimento da</w:t>
      </w:r>
      <w:r>
        <w:t xml:space="preserve"> Ordem de Fornecimento/Empenho, emitida pela Secretaria requisitante, sendo esta ordem o marco inicial formal para a entrega dos equipamentos, ferramentas e materiais diversos para Marcenaria, aplicável individualmente conforme a respectiva emissão.</w:t>
      </w:r>
      <w:r/>
    </w:p>
    <w:p>
      <w:pPr>
        <w:pStyle w:val="828"/>
        <w:pBdr/>
        <w:spacing/>
        <w:ind/>
        <w:jc w:val="both"/>
        <w:rPr/>
      </w:pPr>
      <w:r>
        <w:rPr>
          <w:b/>
          <w:bCs/>
        </w:rPr>
        <w:t xml:space="preserve">5.1.2. O prazo máximo para entrega dos equipamentos e ferramentas</w:t>
      </w:r>
      <w:r>
        <w:t xml:space="preserve"> para Marcenaria, será </w:t>
      </w:r>
      <w:r>
        <w:rPr>
          <w:b/>
          <w:bCs/>
        </w:rPr>
        <w:t xml:space="preserve">de até 30 (trinta) dias corridos</w:t>
      </w:r>
      <w:r>
        <w:t xml:space="preserve">, contados a partir do efetivo recebimento da Ordem de Fornecimento/Empenho pelo Detentor, devendo o fornecimento ocorrer de forma integral, c</w:t>
      </w:r>
      <w:r>
        <w:t xml:space="preserve">onforme as especificações constantes neste Termo de Referência.</w:t>
      </w:r>
      <w:r/>
    </w:p>
    <w:p>
      <w:pPr>
        <w:pStyle w:val="828"/>
        <w:pBdr/>
        <w:spacing/>
        <w:ind/>
        <w:jc w:val="both"/>
        <w:rPr/>
      </w:pPr>
      <w:r>
        <w:rPr>
          <w:b/>
          <w:bCs/>
        </w:rPr>
        <w:t xml:space="preserve">5.1.3.</w:t>
      </w:r>
      <w:r>
        <w:t xml:space="preserve"> </w:t>
      </w:r>
      <w:r>
        <w:rPr>
          <w:b/>
          <w:bCs/>
        </w:rPr>
        <w:t xml:space="preserve">O prazo máximo para entrega dos materiais de consumo e/ou insumos</w:t>
      </w:r>
      <w:r>
        <w:t xml:space="preserve"> diversos para marcenaria deverão ser entregues conforme demandas das unidades requisitantes, será </w:t>
      </w:r>
      <w:r>
        <w:rPr>
          <w:b/>
          <w:bCs/>
        </w:rPr>
        <w:t xml:space="preserve">de até 30 (trinta) dias corridos,</w:t>
      </w:r>
      <w:r>
        <w:t xml:space="preserve"> porém em tempo hábil para execução dos serviços sem interromper as atividades internas.</w:t>
      </w:r>
      <w:r/>
    </w:p>
    <w:p>
      <w:pPr>
        <w:pStyle w:val="828"/>
        <w:pBdr/>
        <w:spacing/>
        <w:ind/>
        <w:jc w:val="both"/>
        <w:rPr/>
      </w:pPr>
      <w:r>
        <w:rPr>
          <w:b/>
          <w:bCs/>
        </w:rPr>
        <w:t xml:space="preserve">5.1.4. O prazo para o recebimento definitivo </w:t>
      </w:r>
      <w:r>
        <w:t xml:space="preserve">do objeto será de até </w:t>
      </w:r>
      <w:r>
        <w:rPr>
          <w:b/>
          <w:bCs/>
        </w:rPr>
        <w:t xml:space="preserve">05 (cinco) dias úteis</w:t>
      </w:r>
      <w:r>
        <w:t xml:space="preserve">, contados a partir da entrega dos materiais e da apresentação da r</w:t>
      </w:r>
      <w:r>
        <w:t xml:space="preserve">espectiva Nota Fiscal, condicionado à conferência, verificação de conformidade, qualidade e aceite pela Administração Pública.</w:t>
      </w:r>
      <w:r/>
    </w:p>
    <w:p>
      <w:pPr>
        <w:pStyle w:val="828"/>
        <w:pBdr/>
        <w:spacing/>
        <w:ind/>
        <w:jc w:val="both"/>
        <w:rPr/>
      </w:pPr>
      <w:r>
        <w:rPr>
          <w:b/>
          <w:bCs/>
        </w:rPr>
        <w:t xml:space="preserve">5.1.5. </w:t>
      </w:r>
      <w:r>
        <w:t xml:space="preserve">As aqui</w:t>
      </w:r>
      <w:r>
        <w:t xml:space="preserve">sições que, extraordinariamente, extrapolarem o período fixado no cronograma, após autorizadas, deverão ser atendidas pelo Detentor, no prazo máximo discriminado acima deste TR, a partir da data do recebimento da Nota de Empenho ou outro instrumento hábil.</w:t>
      </w:r>
      <w:r/>
    </w:p>
    <w:p>
      <w:pPr>
        <w:pStyle w:val="828"/>
        <w:pBdr/>
        <w:spacing/>
        <w:ind/>
        <w:jc w:val="both"/>
        <w:rPr/>
      </w:pPr>
      <w:r>
        <w:rPr>
          <w:b/>
          <w:bCs/>
        </w:rPr>
        <w:t xml:space="preserve">5.1.6</w:t>
      </w:r>
      <w:r>
        <w:t xml:space="preserve">. Os locais de entrega, serão os indicados na Nota de Empenho ou outro instrumento hábil.</w:t>
      </w:r>
      <w:r/>
    </w:p>
    <w:p>
      <w:pPr>
        <w:pStyle w:val="828"/>
        <w:pBdr/>
        <w:spacing/>
        <w:ind/>
        <w:jc w:val="both"/>
        <w:rPr/>
      </w:pPr>
      <w:r>
        <w:rPr>
          <w:b/>
          <w:bCs/>
        </w:rPr>
        <w:t xml:space="preserve">5.1.7. </w:t>
      </w:r>
      <w:r>
        <w:t xml:space="preserve">Durante a ex</w:t>
      </w:r>
      <w:r>
        <w:t xml:space="preserve">ecução do fornecimento, os locais de entrega poderão sofrer modificações, a critério da Administração Pública, dentro do perímetro urbano do Município de Rondonópolis, conforme descrito na Nota de Empenho ou outro instrumento hábil.</w:t>
      </w:r>
      <w:r/>
    </w:p>
    <w:p>
      <w:pPr>
        <w:pStyle w:val="828"/>
        <w:pBdr/>
        <w:spacing/>
        <w:ind/>
        <w:jc w:val="both"/>
        <w:rPr/>
      </w:pPr>
      <w:r>
        <w:rPr>
          <w:b/>
          <w:bCs/>
        </w:rPr>
        <w:t xml:space="preserve">5.1.8</w:t>
      </w:r>
      <w:r>
        <w:t xml:space="preserve">. O(s) produto(s) deverá(ão) ser descarregado(s) e entregue(s) no </w:t>
      </w:r>
      <w:r>
        <w:rPr>
          <w:b/>
          <w:bCs/>
        </w:rPr>
        <w:t xml:space="preserve">ALMOXARIFADO DA SECRETARIA MUNCIPAL DE SAÚDE seguindo o itinerário: segunda a sexta feira das 07:00 as 11:00 horas e das 13:00 as 17:00 horas, no endereço: Av. Angelo Thum, 181 - Jardim Monte Libano, Rondonóp</w:t>
      </w:r>
      <w:r>
        <w:rPr>
          <w:b/>
          <w:bCs/>
        </w:rPr>
        <w:t xml:space="preserve">olis - MT, 78710-272. </w:t>
      </w:r>
      <w:r/>
    </w:p>
    <w:p>
      <w:pPr>
        <w:pStyle w:val="828"/>
        <w:pBdr/>
        <w:spacing/>
        <w:ind/>
        <w:jc w:val="both"/>
        <w:rPr/>
      </w:pPr>
      <w:r>
        <w:rPr>
          <w:b/>
          <w:bCs/>
        </w:rPr>
        <w:t xml:space="preserve">5.1.9. </w:t>
      </w:r>
      <w:r>
        <w:t xml:space="preserve">O(s) produto(s) deverá(ão) ser entregue(s) em sua(s) embalagem(ns) original(is) e individual(is), dentro da mais perfeita integridade, ou seja, sem avarias e/ou danos no manuseio.</w:t>
      </w:r>
      <w:r/>
    </w:p>
    <w:p>
      <w:pPr>
        <w:pStyle w:val="828"/>
        <w:pBdr/>
        <w:spacing/>
        <w:ind/>
        <w:jc w:val="both"/>
        <w:rPr/>
      </w:pPr>
      <w:r>
        <w:rPr>
          <w:b/>
          <w:bCs/>
        </w:rPr>
        <w:t xml:space="preserve">5.1.10</w:t>
      </w:r>
      <w:r>
        <w:t xml:space="preserve">. Os produtos dever</w:t>
      </w:r>
      <w:r>
        <w:t xml:space="preserve">ão ser entregues em embalagens adequadas à natureza do(s) mesmo(s), ou seja, que resistam ao peso, à forma e às condições de transporte, garantindo que seja(m) entregue(s) em perfeito estado de conservação e limpeza. O produto danificado não será recebido.</w:t>
      </w:r>
      <w:r/>
    </w:p>
    <w:p>
      <w:pPr>
        <w:pStyle w:val="828"/>
        <w:pBdr/>
        <w:spacing/>
        <w:ind/>
        <w:jc w:val="both"/>
        <w:rPr/>
      </w:pPr>
      <w:r>
        <w:rPr>
          <w:b/>
          <w:bCs/>
        </w:rPr>
        <w:t xml:space="preserve">5.1.11</w:t>
      </w:r>
      <w:r>
        <w:t xml:space="preserve">. Os grupos do</w:t>
      </w:r>
      <w:r>
        <w:t xml:space="preserve">s produtos entregues pelo Detentor poderão ser objetos de análise, por amostragem, a critério da Administração Pública, para verificar, a qualquer tempo, a qualidade do produto adquirido. </w:t>
      </w:r>
      <w:r/>
    </w:p>
    <w:p>
      <w:pPr>
        <w:pStyle w:val="828"/>
        <w:pBdr/>
        <w:spacing/>
        <w:ind/>
        <w:jc w:val="both"/>
        <w:rPr/>
      </w:pPr>
      <w:r>
        <w:rPr>
          <w:b/>
          <w:bCs/>
        </w:rPr>
        <w:t xml:space="preserve">5.1.12</w:t>
      </w:r>
      <w:r>
        <w:t xml:space="preserve">. É vedada, tanto a entrega do(s) produto(s) por parte do Detentor, quanto o recebimento do(s) mesmo(s) pelos órgãos participantes com marca(s) diferente(s) da(s) aprovada(s) e devidamente publicada(s) no Diário Oficial do Município - DIORONDON. </w:t>
      </w:r>
      <w:r/>
    </w:p>
    <w:p>
      <w:pPr>
        <w:pStyle w:val="828"/>
        <w:pBdr/>
        <w:spacing/>
        <w:ind/>
        <w:jc w:val="both"/>
        <w:rPr/>
      </w:pPr>
      <w:r>
        <w:rPr>
          <w:b/>
          <w:bCs/>
        </w:rPr>
        <w:t xml:space="preserve">5.1.13</w:t>
      </w:r>
      <w:r>
        <w:t xml:space="preserve">. O Detentor somente poderá entregar o(s) produto(s) nos horário</w:t>
      </w:r>
      <w:r>
        <w:t xml:space="preserve">s e locais estabelecidos pelos Órgãos Participantes. Também deverá respeitar todas as condições impostas pela legislação para a comercialização do(s) produto(s), além das exigências e padrões definidos neste TR.</w:t>
      </w:r>
      <w:r/>
    </w:p>
    <w:p>
      <w:pPr>
        <w:pStyle w:val="828"/>
        <w:pBdr/>
        <w:spacing/>
        <w:ind/>
        <w:jc w:val="both"/>
        <w:rPr/>
      </w:pPr>
      <w:r>
        <w:rPr>
          <w:b/>
          <w:bCs/>
        </w:rPr>
        <w:t xml:space="preserve">5.1.14. </w:t>
      </w:r>
      <w:r>
        <w:t xml:space="preserve">Garantia técnica, manutenção e/ou assistência técnica </w:t>
      </w:r>
      <w:r/>
    </w:p>
    <w:p>
      <w:pPr>
        <w:pStyle w:val="828"/>
        <w:pBdr/>
        <w:spacing/>
        <w:ind/>
        <w:jc w:val="both"/>
        <w:rPr/>
      </w:pPr>
      <w:r>
        <w:rPr>
          <w:b/>
          <w:bCs/>
        </w:rPr>
        <w:t xml:space="preserve">5.1.14.1.</w:t>
      </w:r>
      <w:r>
        <w:t xml:space="preserve"> Equipamentos e ferramentas: a)Máquinas elétricas (Coladeira de Bordas, Coletor de Pó, Compressor de ar, Esquadrejadeira), ferramentas manuais de precisão (Furadeira de Bancada, Furadeira e Parafusadeira de Impacto, Martelete, P</w:t>
      </w:r>
      <w:r>
        <w:t xml:space="preserve">laina, Serra Tico-Tico e Serra Esquadria),e similar</w:t>
      </w:r>
      <w:r>
        <w:t xml:space="preserve">es devem ter garantia técnica, pois possuem partes mecânicas ou elétricas sujeitas a falhas ou desgaste. b)A garantia cobre defeitos de fabricação e falhas de desempenho, garantindo assistência técnica e substituição de peças durante o período determinado.</w:t>
      </w:r>
      <w:r/>
    </w:p>
    <w:p>
      <w:pPr>
        <w:pStyle w:val="828"/>
        <w:pBdr/>
        <w:spacing/>
        <w:ind/>
        <w:jc w:val="both"/>
        <w:rPr/>
      </w:pPr>
      <w:r>
        <w:rPr>
          <w:b/>
          <w:bCs/>
        </w:rPr>
        <w:t xml:space="preserve">5.1.14.2.</w:t>
      </w:r>
      <w:r>
        <w:t xml:space="preserve"> Materiais de consumo e/ou insumos: a)Itens como, parafusos, colas, corrediças, fechaduras, fita de bordas, cantoneiras, chapas em madeiras ou MDF normalmente não têm garantia técnica formal, a n</w:t>
      </w:r>
      <w:r>
        <w:t xml:space="preserve">ão ser q</w:t>
      </w:r>
      <w:r>
        <w:t xml:space="preserve">ue haja especificação de desempenho mínima (por exemplo, cola resistente a umidade ou madeira certificada). b)Para esses materiais, o que se exige é conformidade com a especificação, qualidade e certificações, não necessariamente manutenção ou assistência.</w:t>
      </w:r>
      <w:r/>
    </w:p>
    <w:p>
      <w:pPr>
        <w:pStyle w:val="828"/>
        <w:pBdr/>
        <w:spacing/>
        <w:ind/>
        <w:jc w:val="both"/>
        <w:rPr/>
      </w:pPr>
      <w:r>
        <w:rPr>
          <w:b/>
          <w:bCs/>
        </w:rPr>
        <w:t xml:space="preserve">5.1.14.3.</w:t>
      </w:r>
      <w:r>
        <w:t xml:space="preserve"> Relevância para a Administração: a)A garantia de equipamentos e ferramentas protege a eficiência operacional e a segurança dos servidores, reduz custos com reparos não previstos e assegura que o serviço de marcenaria funcione continuamen</w:t>
      </w:r>
      <w:r>
        <w:t xml:space="preserve">te. b)Para materiais, o controle se dá mais pela qualidade e adequação ao uso, mas não exige manutenção.</w:t>
      </w:r>
      <w:r/>
    </w:p>
    <w:p>
      <w:pPr>
        <w:pStyle w:val="828"/>
        <w:pBdr/>
        <w:spacing/>
        <w:ind/>
        <w:jc w:val="both"/>
        <w:rPr>
          <w:rFonts w:eastAsia="SimSun"/>
        </w:rPr>
      </w:pPr>
      <w:r>
        <w:rPr>
          <w:b/>
          <w:bCs/>
        </w:rPr>
        <w:t xml:space="preserve">5.1.15. 1. </w:t>
      </w:r>
      <w:r>
        <w:rPr>
          <w:rFonts w:eastAsia="SimSun"/>
        </w:rPr>
        <w:t xml:space="preserve">Os </w:t>
      </w:r>
      <w:r>
        <w:rPr>
          <w:rStyle w:val="902"/>
          <w:rFonts w:eastAsia="SimSun"/>
          <w:b w:val="0"/>
          <w:bCs w:val="0"/>
        </w:rPr>
        <w:t xml:space="preserve">equipamentos e ferramentas</w:t>
      </w:r>
      <w:r>
        <w:rPr>
          <w:rFonts w:eastAsia="SimSun"/>
        </w:rPr>
        <w:t xml:space="preserve"> adquiridos para marcenaria deverão contar com </w:t>
      </w:r>
      <w:r>
        <w:rPr>
          <w:rStyle w:val="902"/>
          <w:rFonts w:eastAsia="SimSun"/>
          <w:b w:val="0"/>
          <w:bCs w:val="0"/>
        </w:rPr>
        <w:t xml:space="preserve">garantia técnica</w:t>
      </w:r>
      <w:r>
        <w:rPr>
          <w:rFonts w:eastAsia="SimSun"/>
        </w:rPr>
        <w:t xml:space="preserve">, nos termos do Código de Defesa do Consumidor (Lei nº 8.078/1990), cobrindo defeitos de fabricação e falhas de desempenho. </w:t>
      </w:r>
      <w:r>
        <w:rPr>
          <w:rFonts w:eastAsia="SimSun"/>
          <w:b/>
          <w:bCs/>
        </w:rPr>
        <w:t xml:space="preserve">5.1.15.2.</w:t>
      </w:r>
      <w:r>
        <w:rPr>
          <w:rFonts w:eastAsia="SimSun"/>
        </w:rPr>
        <w:t xml:space="preserve"> Durante o período de garantia, o fornecedor deverá prestar </w:t>
      </w:r>
      <w:r>
        <w:rPr>
          <w:rStyle w:val="902"/>
          <w:rFonts w:eastAsia="SimSun"/>
          <w:b w:val="0"/>
          <w:bCs w:val="0"/>
        </w:rPr>
        <w:t xml:space="preserve">assistência técnica e manutenção corretiva</w:t>
      </w:r>
      <w:r>
        <w:rPr>
          <w:rFonts w:eastAsia="SimSun"/>
        </w:rPr>
        <w:t xml:space="preserve">, incluindo substituição de peças ou componentes defeituosos, sem cus</w:t>
      </w:r>
      <w:r>
        <w:rPr>
          <w:rFonts w:eastAsia="SimSun"/>
        </w:rPr>
        <w:t xml:space="preserve">to adicional para a Secretaria Municipal da Saúde. </w:t>
      </w:r>
      <w:r>
        <w:rPr>
          <w:rFonts w:eastAsia="SimSun"/>
          <w:b/>
          <w:bCs/>
        </w:rPr>
        <w:t xml:space="preserve">5.1.15.3.</w:t>
      </w:r>
      <w:r>
        <w:rPr>
          <w:rFonts w:eastAsia="SimSun"/>
        </w:rPr>
        <w:t xml:space="preserve"> Todos os equipamentos e ferramentas devem ser entregues com </w:t>
      </w:r>
      <w:r>
        <w:rPr>
          <w:rStyle w:val="902"/>
          <w:rFonts w:eastAsia="SimSun"/>
          <w:b w:val="0"/>
          <w:bCs w:val="0"/>
        </w:rPr>
        <w:t xml:space="preserve">manual de operação, instruções de uso e orientações de segurança</w:t>
      </w:r>
      <w:r>
        <w:rPr>
          <w:rFonts w:eastAsia="SimSun"/>
        </w:rPr>
        <w:t xml:space="preserve">.</w:t>
      </w:r>
      <w:r>
        <w:rPr>
          <w:rFonts w:eastAsia="SimSun"/>
        </w:rPr>
      </w:r>
    </w:p>
    <w:p>
      <w:pPr>
        <w:pStyle w:val="828"/>
        <w:pBdr/>
        <w:spacing/>
        <w:ind/>
        <w:jc w:val="both"/>
        <w:rPr>
          <w:rFonts w:eastAsia="SimSun"/>
        </w:rPr>
      </w:pPr>
      <w:r>
        <w:rPr>
          <w:rFonts w:eastAsia="SimSun"/>
          <w:b/>
          <w:bCs/>
        </w:rPr>
        <w:t xml:space="preserve">5.1.15.4.</w:t>
      </w:r>
      <w:r>
        <w:rPr>
          <w:rFonts w:eastAsia="SimSun"/>
        </w:rPr>
        <w:t xml:space="preserve"> Os </w:t>
      </w:r>
      <w:r>
        <w:rPr>
          <w:rStyle w:val="902"/>
          <w:rFonts w:eastAsia="SimSun"/>
          <w:b w:val="0"/>
          <w:bCs w:val="0"/>
        </w:rPr>
        <w:t xml:space="preserve">materiais diversos</w:t>
      </w:r>
      <w:r>
        <w:rPr>
          <w:rFonts w:eastAsia="SimSun"/>
        </w:rPr>
        <w:t xml:space="preserve"> (como citados no item 5.1.14.2) deverão atender às </w:t>
      </w:r>
      <w:r>
        <w:rPr>
          <w:rStyle w:val="902"/>
          <w:rFonts w:eastAsia="SimSun"/>
          <w:b w:val="0"/>
          <w:bCs w:val="0"/>
        </w:rPr>
        <w:t xml:space="preserve">especificações técnicas e padrões de qualidade exigidos</w:t>
      </w:r>
      <w:r>
        <w:rPr>
          <w:rFonts w:eastAsia="SimSun"/>
        </w:rPr>
        <w:t xml:space="preserve"> no Termo de Referência, não sendo exigida garantia formal, mas devendo apresentar conformidade com as normas aplicáveis e adequação ao uso previsto.</w:t>
      </w:r>
      <w:r>
        <w:rPr>
          <w:rFonts w:eastAsia="SimSun"/>
        </w:rPr>
      </w:r>
    </w:p>
    <w:p>
      <w:pPr>
        <w:pStyle w:val="828"/>
        <w:pBdr/>
        <w:spacing/>
        <w:ind/>
        <w:jc w:val="both"/>
        <w:rPr>
          <w:color w:val="0000ff"/>
        </w:rPr>
      </w:pPr>
      <w:r>
        <w:rPr>
          <w:b/>
          <w:bCs/>
        </w:rPr>
        <w:t xml:space="preserve">5.1.16</w:t>
      </w:r>
      <w:r>
        <w:t xml:space="preserve">. O prazo de garantia contratua</w:t>
      </w:r>
      <w:r>
        <w:t xml:space="preserve">l do(s) bem(</w:t>
      </w:r>
      <w:r>
        <w:t xml:space="preserve">ns), (como citados no item 5.1.14.1) complementar à garantia legal, será de, no mínimo, 12 (doze) meses, ou pelo prazo fornecido pelo fabricante, se superior, contado a partir do primeiro dia útil subsequente à data do recebimento definitivo do(s) bem(ns).</w:t>
      </w:r>
      <w:r>
        <w:rPr>
          <w:color w:val="0000ff"/>
        </w:rPr>
      </w:r>
      <w:r>
        <w:rPr>
          <w:color w:val="0000ff"/>
        </w:rPr>
      </w:r>
    </w:p>
    <w:p>
      <w:pPr>
        <w:pStyle w:val="828"/>
        <w:pBdr/>
        <w:spacing/>
        <w:ind/>
        <w:jc w:val="both"/>
        <w:rPr/>
      </w:pPr>
      <w:r>
        <w:rPr>
          <w:b/>
          <w:bCs/>
        </w:rPr>
        <w:t xml:space="preserve">5.1.17</w:t>
      </w:r>
      <w:r>
        <w:t xml:space="preserve">. Caso o prazo da garantia oferecida pelo fabricante seja inferior ao estabelecido nesta cláusula, o fornecedor deverá complementar a garantia do(s) bem(ns) ofertado(s) pelo período restante.</w:t>
      </w:r>
      <w:r/>
    </w:p>
    <w:p>
      <w:pPr>
        <w:pStyle w:val="828"/>
        <w:pBdr/>
        <w:spacing/>
        <w:ind/>
        <w:jc w:val="both"/>
        <w:rPr/>
      </w:pPr>
      <w:r>
        <w:rPr>
          <w:b/>
          <w:bCs/>
        </w:rPr>
        <w:t xml:space="preserve">5.1.18. </w:t>
      </w:r>
      <w:r>
        <w:t xml:space="preserve">A garantia será prestada com vistas a</w:t>
      </w:r>
      <w:r>
        <w:t xml:space="preserve"> manter os equipamentos/bens fornecidos em perfeitas condições de uso, sem qualquer ônus ou custo adicional para o Contratante. </w:t>
      </w:r>
      <w:r/>
    </w:p>
    <w:p>
      <w:pPr>
        <w:pStyle w:val="828"/>
        <w:pBdr/>
        <w:spacing/>
        <w:ind/>
        <w:jc w:val="both"/>
        <w:rPr/>
      </w:pPr>
      <w:r>
        <w:rPr>
          <w:b/>
          <w:bCs/>
        </w:rPr>
        <w:t xml:space="preserve">5.1.19. </w:t>
      </w:r>
      <w:r>
        <w:t xml:space="preserve">A garantia abrange a realização da manutenção corretiva dos bens pelo próprio Contratado, ou, se for o caso, por meio de assistência técnica autorizada, de acordo com as normas técnicas específicas, sem qualquer ônus ou custo adicional para o Contratante.</w:t>
      </w:r>
      <w:r/>
    </w:p>
    <w:p>
      <w:pPr>
        <w:pStyle w:val="828"/>
        <w:pBdr/>
        <w:spacing/>
        <w:ind/>
        <w:jc w:val="both"/>
        <w:rPr/>
      </w:pPr>
      <w:r>
        <w:rPr>
          <w:b/>
          <w:bCs/>
        </w:rPr>
        <w:t xml:space="preserve">5.1.20</w:t>
      </w:r>
      <w:r>
        <w:t xml:space="preserve">. Entende-se por manutenção corretiva aquela destinada a corrigir os defeitos apresentados pelos bens, compreende</w:t>
      </w:r>
      <w:r>
        <w:t xml:space="preserve">ndo a substituição de peças, a realização de ajustes, reparos e correções necessárias, sem qualquer ônus ou custo adicional para o Contratante.</w:t>
      </w:r>
      <w:r/>
    </w:p>
    <w:p>
      <w:pPr>
        <w:pStyle w:val="828"/>
        <w:pBdr/>
        <w:spacing/>
        <w:ind/>
        <w:jc w:val="both"/>
        <w:rPr/>
      </w:pPr>
      <w:r>
        <w:rPr>
          <w:b/>
          <w:bCs/>
        </w:rPr>
        <w:t xml:space="preserve">5.1.21</w:t>
      </w:r>
      <w:r>
        <w:t xml:space="preserve">. As peças que apresentarem vício ou defeito no período de vigência da garanti</w:t>
      </w:r>
      <w:r>
        <w:t xml:space="preserve">a deverão ser substituídas por outras novas, de primeiro uso, e originais, que apresentem padrões de qualidade e desempenho iguais ou superiores aos das peças utilizadas na fabricação do equipamento, sem qualquer ônus ou custo adicional para o Contratante.</w:t>
      </w:r>
      <w:r/>
    </w:p>
    <w:p>
      <w:pPr>
        <w:pStyle w:val="828"/>
        <w:pBdr/>
        <w:spacing/>
        <w:ind/>
        <w:jc w:val="both"/>
        <w:rPr/>
      </w:pPr>
      <w:r>
        <w:rPr>
          <w:b/>
          <w:bCs/>
        </w:rPr>
        <w:t xml:space="preserve">5.1.22</w:t>
      </w:r>
      <w:r>
        <w:t xml:space="preserve">. Uma vez notificado,</w:t>
      </w:r>
      <w:r>
        <w:t xml:space="preserve"> o Contratado realizará a re</w:t>
      </w:r>
      <w:r>
        <w:t xml:space="preserve">paração do(s) bem(ns) que apresentar(em) vício ou defeito no prazo máximo de 15 (quinze) dias úteis, contados a partir da data de retirada do(s) bem(ns) das dependências da Administração pelo Contratado ou do comparecimento da assistência técnica no local.</w:t>
      </w:r>
      <w:r/>
    </w:p>
    <w:p>
      <w:pPr>
        <w:pStyle w:val="828"/>
        <w:pBdr/>
        <w:spacing/>
        <w:ind/>
        <w:jc w:val="both"/>
        <w:rPr/>
      </w:pPr>
      <w:r>
        <w:rPr>
          <w:b/>
          <w:bCs/>
        </w:rPr>
        <w:t xml:space="preserve">5.1.23. </w:t>
      </w:r>
      <w:r>
        <w:t xml:space="preserve">O prazo indicado no subitem anterior, durante seu transcurso, poderá ser prorrogado mediante solicitação escrita e justificada do Contratado, aceita pelo Contratante. </w:t>
      </w:r>
      <w:r/>
    </w:p>
    <w:p>
      <w:pPr>
        <w:pStyle w:val="828"/>
        <w:pBdr/>
        <w:spacing/>
        <w:ind/>
        <w:jc w:val="both"/>
        <w:rPr/>
      </w:pPr>
      <w:r>
        <w:rPr>
          <w:b/>
          <w:bCs/>
        </w:rPr>
        <w:t xml:space="preserve">5.1.24</w:t>
      </w:r>
      <w:r>
        <w:t xml:space="preserve">. Na hipótese do subitem acima, o Contratado </w:t>
      </w:r>
      <w:r>
        <w:t xml:space="preserve">deverá disponibilizar bem(ns)  equivalente(s), de especificação igual ou superior ao(s) anteriormente fornecido(s), para utilização em caráter provisório pelo Contratante, de modo a garantir a continuidade dos trabalhos durante a execução dos reparos. </w:t>
      </w:r>
      <w:r/>
    </w:p>
    <w:p>
      <w:pPr>
        <w:pStyle w:val="828"/>
        <w:pBdr/>
        <w:spacing/>
        <w:ind/>
        <w:jc w:val="both"/>
        <w:rPr/>
      </w:pPr>
      <w:r>
        <w:rPr>
          <w:b/>
          <w:bCs/>
        </w:rPr>
        <w:t xml:space="preserve">5.1.25</w:t>
      </w:r>
      <w:r>
        <w:t xml:space="preserve">. Decorrido o prazo para reparos e substituições sem o atendimento da solicitação do Contratante ou a apresentação de justificativas pelo Contratado, fica o Contratante autorizado a contratar empresa diversa para executar os reparos, ajustes ou a substi</w:t>
      </w:r>
      <w:r>
        <w:t xml:space="preserve">tuição do(s) bem(ns) ou de seus componentes, bem como a exigir do Contratado o reembolso pelos custos respectivos, sem que tal fato acarrete a perda da garantia do(s) bem(ns). </w:t>
      </w:r>
      <w:r/>
    </w:p>
    <w:p>
      <w:pPr>
        <w:pStyle w:val="828"/>
        <w:pBdr/>
        <w:spacing/>
        <w:ind/>
        <w:jc w:val="both"/>
        <w:rPr/>
      </w:pPr>
      <w:r>
        <w:rPr>
          <w:b/>
          <w:bCs/>
        </w:rPr>
        <w:t xml:space="preserve">5.1.26</w:t>
      </w:r>
      <w:r>
        <w:t xml:space="preserve">. O custo referente ao transporte do(s) bem(ns) coberto(s) pela garantia será de responsabilidade do Contratado. </w:t>
      </w:r>
      <w:r/>
    </w:p>
    <w:p>
      <w:pPr>
        <w:pStyle w:val="828"/>
        <w:pBdr/>
        <w:spacing/>
        <w:ind/>
        <w:jc w:val="both"/>
        <w:rPr/>
      </w:pPr>
      <w:r>
        <w:rPr>
          <w:b/>
          <w:bCs/>
        </w:rPr>
        <w:t xml:space="preserve">5.1.27. </w:t>
      </w:r>
      <w:r>
        <w:t xml:space="preserve">A garantia legal ou contratual do(s) bem(ns) tem prazo de vigência próprio e desvinculado daquele fixado no contrato, permitindo eventual aplicação de penalidades em caso de descumprimento de alguma de suas </w:t>
      </w:r>
      <w:r>
        <w:t xml:space="preserve">condições, mesmo depois de expirada a vigência contratual.</w:t>
      </w:r>
      <w:r/>
    </w:p>
    <w:p>
      <w:pPr>
        <w:pStyle w:val="984"/>
        <w:pBdr/>
        <w:spacing/>
        <w:ind/>
        <w:jc w:val="both"/>
        <w:rPr>
          <w:rStyle w:val="902"/>
          <w:sz w:val="20"/>
          <w:szCs w:val="20"/>
        </w:rPr>
      </w:pPr>
      <w:r>
        <w:rPr>
          <w:rStyle w:val="902"/>
          <w:sz w:val="20"/>
          <w:szCs w:val="20"/>
        </w:rPr>
        <w:t xml:space="preserve">5.1.28. Quantidades mínimas a serem cotadas</w:t>
      </w:r>
      <w:r>
        <w:rPr>
          <w:rStyle w:val="902"/>
          <w:sz w:val="20"/>
          <w:szCs w:val="20"/>
        </w:rPr>
      </w:r>
    </w:p>
    <w:p>
      <w:pPr>
        <w:pStyle w:val="984"/>
        <w:pBdr/>
        <w:spacing/>
        <w:ind/>
        <w:jc w:val="both"/>
        <w:rPr>
          <w:sz w:val="20"/>
          <w:szCs w:val="20"/>
        </w:rPr>
      </w:pPr>
      <w:r>
        <w:rPr>
          <w:rStyle w:val="902"/>
          <w:sz w:val="20"/>
          <w:szCs w:val="20"/>
        </w:rPr>
        <w:t xml:space="preserve">5.1.28.1.</w:t>
      </w:r>
      <w:r>
        <w:rPr>
          <w:sz w:val="20"/>
          <w:szCs w:val="20"/>
        </w:rPr>
        <w:t xml:space="preserve"> Em cumprimento ao disposto no art. 82, inciso II, da Lei nº 14.133/2021, e no art. 301, inciso VI, do Decreto nº 11.685/2023, ficam estabelecid</w:t>
      </w:r>
      <w:r>
        <w:rPr>
          <w:sz w:val="20"/>
          <w:szCs w:val="20"/>
        </w:rPr>
        <w:t xml:space="preserve">os os quantitativos mínimos a serem cotados no âmbito da presente contratação, destinados à implantação e ao funcionamento da marcenaria da Secretaria Municipal de Saúde, vinculada ao Setor de Engenharia, considerando a necessidade de suporte operacional à</w:t>
      </w:r>
      <w:r>
        <w:rPr>
          <w:sz w:val="20"/>
          <w:szCs w:val="20"/>
        </w:rPr>
        <w:t xml:space="preserve"> equi</w:t>
      </w:r>
      <w:r>
        <w:rPr>
          <w:sz w:val="20"/>
          <w:szCs w:val="20"/>
        </w:rPr>
        <w:t xml:space="preserve">pe formada por 06 marceneiros, a execução de serviços de fabricação, montagem, manutenção e adaptação de móveis planejados nas unidades de saúde, bem como a distinção entre ferramentas de uso individual, equipamentos de uso coletivo e materiais de consumo.</w:t>
      </w:r>
      <w:r>
        <w:rPr>
          <w:sz w:val="20"/>
          <w:szCs w:val="20"/>
        </w:rPr>
      </w:r>
    </w:p>
    <w:p>
      <w:pPr>
        <w:pStyle w:val="984"/>
        <w:pBdr/>
        <w:spacing/>
        <w:ind/>
        <w:jc w:val="both"/>
        <w:rPr>
          <w:sz w:val="20"/>
          <w:szCs w:val="20"/>
        </w:rPr>
      </w:pPr>
      <w:r>
        <w:rPr>
          <w:rStyle w:val="902"/>
          <w:sz w:val="20"/>
          <w:szCs w:val="20"/>
        </w:rPr>
        <w:t xml:space="preserve">5.1.28.2.</w:t>
      </w:r>
      <w:r>
        <w:rPr>
          <w:sz w:val="20"/>
          <w:szCs w:val="20"/>
        </w:rPr>
        <w:t xml:space="preserve"> Considerando que o objeto possui natureza material, a quantidade mínima a ser cotada corresponderá a:</w:t>
        <w:br w:type="textWrapping" w:clear="all"/>
        <w:t xml:space="preserve">a) 10% (dez por cento) do quantitativo total estimado para cada item, conforme definido na planilha de estimativas deste Termo de Referênc</w:t>
      </w:r>
      <w:r>
        <w:rPr>
          <w:sz w:val="20"/>
          <w:szCs w:val="20"/>
        </w:rPr>
        <w:t xml:space="preserve">ia;</w:t>
        <w:br w:type="textWrapping" w:clear="all"/>
        <w:t xml:space="preserve">b) os quantitativos mínimos ora fixados deverão constar expressamente no edital e no contrato, constituindo parâmetro obrigatório para a execução do fornecimento, garantindo </w:t>
      </w:r>
      <w:r>
        <w:rPr>
          <w:rStyle w:val="902"/>
          <w:b w:val="0"/>
          <w:bCs w:val="0"/>
          <w:sz w:val="20"/>
          <w:szCs w:val="20"/>
        </w:rPr>
        <w:t xml:space="preserve">economicidade, eficiência logística e integral cumprimento da legislação vigente</w:t>
      </w:r>
      <w:r>
        <w:rPr>
          <w:sz w:val="20"/>
          <w:szCs w:val="20"/>
        </w:rPr>
        <w:t xml:space="preserve">.</w:t>
      </w:r>
      <w:r>
        <w:rPr>
          <w:sz w:val="20"/>
          <w:szCs w:val="20"/>
        </w:rPr>
      </w:r>
    </w:p>
    <w:p>
      <w:pPr>
        <w:pStyle w:val="828"/>
        <w:pBdr/>
        <w:shd w:val="clear" w:color="auto" w:fill="cccccc"/>
        <w:spacing/>
        <w:ind/>
        <w:jc w:val="both"/>
        <w:rPr/>
      </w:pPr>
      <w:r>
        <w:rPr>
          <w:b/>
          <w:bCs/>
        </w:rPr>
        <w:t xml:space="preserve">6. GESTÃO DO CONTRATO </w:t>
      </w:r>
      <w:r/>
    </w:p>
    <w:p>
      <w:pPr>
        <w:pStyle w:val="828"/>
        <w:pBdr/>
        <w:spacing/>
        <w:ind/>
        <w:jc w:val="both"/>
        <w:rPr/>
      </w:pPr>
      <w:r/>
      <w:r/>
    </w:p>
    <w:p>
      <w:pPr>
        <w:pStyle w:val="828"/>
        <w:pBdr/>
        <w:spacing/>
        <w:ind/>
        <w:jc w:val="both"/>
        <w:rPr/>
      </w:pPr>
      <w:r>
        <w:rPr>
          <w:b/>
          <w:bCs/>
        </w:rPr>
        <w:t xml:space="preserve">6.1. </w:t>
      </w:r>
      <w:r>
        <w:t xml:space="preserve">O contrato deverá ser executado fielmente pelas partes, de acordo com as cláusulas avençadas e as normas da Lei 14.133/2021 e do Decreto Municipal nº 11.685/2023, e cada parte responderá pelas consequências de sua inexecuçã</w:t>
      </w:r>
      <w:r>
        <w:t xml:space="preserve">o total ou parcial.</w:t>
      </w:r>
      <w:r/>
    </w:p>
    <w:p>
      <w:pPr>
        <w:pStyle w:val="828"/>
        <w:pBdr/>
        <w:spacing/>
        <w:ind/>
        <w:jc w:val="both"/>
        <w:rPr/>
      </w:pPr>
      <w:r>
        <w:rPr>
          <w:b/>
          <w:bCs/>
        </w:rPr>
        <w:t xml:space="preserve">6.2. </w:t>
      </w:r>
      <w:r>
        <w:t xml:space="preserve">Em caso de impedimento, ordem de paralisação ou suspensão do contrato, o cronograma de execução será prorrogado automaticamente pelo tempo correspondente, anotadas tais circunstâncias mediante simples apostila.</w:t>
      </w:r>
      <w:r/>
    </w:p>
    <w:p>
      <w:pPr>
        <w:pStyle w:val="828"/>
        <w:pBdr/>
        <w:spacing/>
        <w:ind/>
        <w:jc w:val="both"/>
        <w:rPr/>
      </w:pPr>
      <w:r>
        <w:rPr>
          <w:b/>
          <w:bCs/>
        </w:rPr>
        <w:t xml:space="preserve">6.3. </w:t>
      </w:r>
      <w:r>
        <w:t xml:space="preserve">As comunicações entre o órgão ou entidade e o Contratado devem ser realizadas por escrito sempre que o ato exigir tal formalidade, admitindo-se o uso de mensagem eletrônica para esse fim.</w:t>
      </w:r>
      <w:r/>
    </w:p>
    <w:p>
      <w:pPr>
        <w:pStyle w:val="828"/>
        <w:pBdr/>
        <w:spacing/>
        <w:ind/>
        <w:jc w:val="both"/>
        <w:rPr/>
      </w:pPr>
      <w:r>
        <w:rPr>
          <w:b/>
          <w:bCs/>
        </w:rPr>
        <w:t xml:space="preserve">6.4.</w:t>
      </w:r>
      <w:r>
        <w:t xml:space="preserve"> O órgão ou entidade poderá convocar representante da empresa para adoção de pr</w:t>
      </w:r>
      <w:r>
        <w:t xml:space="preserve">ovidências que devam ser cumpridas de imediato.</w:t>
      </w:r>
      <w:r/>
    </w:p>
    <w:p>
      <w:pPr>
        <w:pStyle w:val="828"/>
        <w:pBdr/>
        <w:spacing/>
        <w:ind/>
        <w:jc w:val="both"/>
        <w:rPr/>
      </w:pPr>
      <w:r>
        <w:rPr>
          <w:b/>
          <w:bCs/>
        </w:rPr>
        <w:t xml:space="preserve">6.5. </w:t>
      </w:r>
      <w:r>
        <w:t xml:space="preserve">Após a assinatura do contrato ou instrumento equivalente, o órgão ou entidade poderá convocar o representante da empresa contratada para reunião inicial para apresentação do plano de fiscalização, que co</w:t>
      </w:r>
      <w:r>
        <w:t xml:space="preserve">nterá informações acerca das obrigações contratuais, dos mecanismos de fiscalização, das estratégias para execução do objeto, do plano complementar de execução da contratada, quando houver, do método de aferição dos resultados e das sanções aplicáveis, den</w:t>
      </w:r>
      <w:r>
        <w:t xml:space="preserve">tre outros.</w:t>
      </w:r>
      <w:r/>
    </w:p>
    <w:p>
      <w:pPr>
        <w:pStyle w:val="828"/>
        <w:pBdr/>
        <w:spacing/>
        <w:ind/>
        <w:jc w:val="both"/>
        <w:rPr/>
      </w:pPr>
      <w:r>
        <w:rPr>
          <w:b/>
          <w:bCs/>
        </w:rPr>
        <w:t xml:space="preserve">6.6. </w:t>
      </w:r>
      <w:r>
        <w:t xml:space="preserve">A execução do contrato deverá ser acompanhada e fiscalizada pelo(s</w:t>
      </w:r>
      <w:r>
        <w:t xml:space="preserve">) fiscal(is) do contrato, ou pelos respectivos substitutos, observado o disposto nos artigos 11 e 12 do Decreto Municipal nº 11.685/2023 e do artigo 117 da Lei 14.133/2021, consistindo a sua atuação, sem prejuízo de outras previstas em lei ou regulamento: </w:t>
      </w:r>
      <w:r/>
    </w:p>
    <w:p>
      <w:pPr>
        <w:pStyle w:val="828"/>
        <w:pBdr/>
        <w:spacing/>
        <w:ind/>
        <w:jc w:val="both"/>
        <w:rPr/>
      </w:pPr>
      <w:r>
        <w:rPr>
          <w:b/>
          <w:bCs/>
        </w:rPr>
        <w:t xml:space="preserve">a) </w:t>
      </w:r>
      <w:r>
        <w:t xml:space="preserve">anotar, em registro, próprio todas as ocorrências relacionadas com a execução e determinará o que for necessário à regularização de falhas ou defeitos observados. </w:t>
      </w:r>
      <w:r/>
    </w:p>
    <w:p>
      <w:pPr>
        <w:pStyle w:val="828"/>
        <w:pBdr/>
        <w:spacing/>
        <w:ind/>
        <w:jc w:val="both"/>
        <w:rPr/>
      </w:pPr>
      <w:r>
        <w:rPr>
          <w:b/>
          <w:bCs/>
        </w:rPr>
        <w:t xml:space="preserve">b)</w:t>
      </w:r>
      <w:r>
        <w:t xml:space="preserve"> In</w:t>
      </w:r>
      <w:r>
        <w:t xml:space="preserve">formar a seus superiores, em tempo hábil para a adoção das medidas convenientes, a situação que demandar decisão ou providência que ultrapasse sua competência.</w:t>
      </w:r>
      <w:r/>
    </w:p>
    <w:p>
      <w:pPr>
        <w:pStyle w:val="828"/>
        <w:pBdr/>
        <w:spacing/>
        <w:ind/>
        <w:jc w:val="both"/>
        <w:rPr/>
      </w:pPr>
      <w:r>
        <w:rPr>
          <w:b/>
          <w:bCs/>
        </w:rPr>
        <w:t xml:space="preserve">c) </w:t>
      </w:r>
      <w:r>
        <w:t xml:space="preserve">Solicitar, quando necessário, o auxílio dos órgãos de assessoramento jurídico e de controle interno da Administração, que deverão dirimir dúvidas e subsidiá-lo com informações relevantes para prevenir riscos na execução contratual.</w:t>
      </w:r>
      <w:r/>
    </w:p>
    <w:p>
      <w:pPr>
        <w:pStyle w:val="828"/>
        <w:pBdr/>
        <w:spacing/>
        <w:ind/>
        <w:jc w:val="both"/>
        <w:rPr/>
      </w:pPr>
      <w:r>
        <w:rPr>
          <w:b/>
          <w:bCs/>
        </w:rPr>
        <w:t xml:space="preserve">d)</w:t>
      </w:r>
      <w:r>
        <w:t xml:space="preserve"> Esclarecer prontamente as dúvidas administrativas e técnicas e divergências surgidas na execução do objeto contrat</w:t>
      </w:r>
      <w:r>
        <w:t xml:space="preserve">ado;</w:t>
      </w:r>
      <w:r/>
    </w:p>
    <w:p>
      <w:pPr>
        <w:pStyle w:val="828"/>
        <w:pBdr/>
        <w:spacing/>
        <w:ind/>
        <w:jc w:val="both"/>
        <w:rPr/>
      </w:pPr>
      <w:r>
        <w:rPr>
          <w:b/>
          <w:bCs/>
        </w:rPr>
        <w:t xml:space="preserve">e) </w:t>
      </w:r>
      <w:r>
        <w:t xml:space="preserve">Expedir, através de notificações e/ou relatório de vistoria, as ocorrências e fazer as determinações e comunicações necessárias à perfeita execução dos serviços; </w:t>
      </w:r>
      <w:r/>
    </w:p>
    <w:p>
      <w:pPr>
        <w:pStyle w:val="828"/>
        <w:pBdr/>
        <w:spacing/>
        <w:ind/>
        <w:jc w:val="both"/>
        <w:rPr/>
      </w:pPr>
      <w:r>
        <w:rPr>
          <w:b/>
          <w:bCs/>
        </w:rPr>
        <w:t xml:space="preserve">f) </w:t>
      </w:r>
      <w:r>
        <w:t xml:space="preserve">Proceder, conforme cronograma físico-financeiro, as medições dos serviços executados e aprovar a planilha de medição emitida pela contratada ou conforme disposto em contrato; </w:t>
      </w:r>
      <w:r/>
    </w:p>
    <w:p>
      <w:pPr>
        <w:pStyle w:val="828"/>
        <w:pBdr/>
        <w:spacing/>
        <w:ind/>
        <w:jc w:val="both"/>
        <w:rPr/>
      </w:pPr>
      <w:r>
        <w:rPr>
          <w:b/>
          <w:bCs/>
        </w:rPr>
        <w:t xml:space="preserve">g)</w:t>
      </w:r>
      <w:r>
        <w:t xml:space="preserve"> Adotar as medidas preventivas de controle dos contratos, inclusive manifestar-se a respeito da suspensão da entrega de bens, a realização de serviços ou a exec</w:t>
      </w:r>
      <w:r>
        <w:t xml:space="preserve">ução de obras; </w:t>
      </w:r>
      <w:r/>
    </w:p>
    <w:p>
      <w:pPr>
        <w:pStyle w:val="828"/>
        <w:pBdr/>
        <w:spacing/>
        <w:ind/>
        <w:jc w:val="both"/>
        <w:rPr/>
      </w:pPr>
      <w:r>
        <w:rPr>
          <w:b/>
          <w:bCs/>
        </w:rPr>
        <w:t xml:space="preserve">h)  </w:t>
      </w:r>
      <w:r>
        <w:t xml:space="preserve">Conferir e certificar as faturas relativas às aquisições, serviços ou obras; </w:t>
      </w:r>
      <w:r/>
    </w:p>
    <w:p>
      <w:pPr>
        <w:pStyle w:val="828"/>
        <w:pBdr/>
        <w:spacing/>
        <w:ind/>
        <w:jc w:val="both"/>
        <w:rPr/>
      </w:pPr>
      <w:r>
        <w:rPr>
          <w:b/>
          <w:bCs/>
        </w:rPr>
        <w:t xml:space="preserve">i) </w:t>
      </w:r>
      <w:r>
        <w:t xml:space="preserve">Proceder as avaliações dos serviços executados pela contratada;</w:t>
      </w:r>
      <w:r/>
    </w:p>
    <w:p>
      <w:pPr>
        <w:pStyle w:val="828"/>
        <w:pBdr/>
        <w:spacing/>
        <w:ind/>
        <w:jc w:val="both"/>
        <w:rPr/>
      </w:pPr>
      <w:r>
        <w:rPr>
          <w:b/>
          <w:bCs/>
        </w:rPr>
        <w:t xml:space="preserve">j)</w:t>
      </w:r>
      <w:r>
        <w:t xml:space="preserve"> Determinar por todos os meios adequados a observância das normas técnicas e legais, especificações e métodos de execução dos serviços exigíveis para a perfeita execução do objeto; </w:t>
      </w:r>
      <w:r/>
    </w:p>
    <w:p>
      <w:pPr>
        <w:pStyle w:val="828"/>
        <w:pBdr/>
        <w:spacing/>
        <w:ind/>
        <w:jc w:val="both"/>
        <w:rPr/>
      </w:pPr>
      <w:r>
        <w:rPr>
          <w:b/>
          <w:bCs/>
        </w:rPr>
        <w:t xml:space="preserve">k)</w:t>
      </w:r>
      <w:r>
        <w:t xml:space="preserve"> Exigir o uso correto dos equipamentos de proteção individual e coletiva de segurança do trabalho; </w:t>
      </w:r>
      <w:r/>
    </w:p>
    <w:p>
      <w:pPr>
        <w:pStyle w:val="828"/>
        <w:pBdr/>
        <w:spacing/>
        <w:ind/>
        <w:jc w:val="both"/>
        <w:rPr/>
      </w:pPr>
      <w:r>
        <w:rPr>
          <w:b/>
          <w:bCs/>
        </w:rPr>
        <w:t xml:space="preserve">l) </w:t>
      </w:r>
      <w:r>
        <w:t xml:space="preserve">Determinar a retirada de qualquer empregado subordinado di</w:t>
      </w:r>
      <w:r>
        <w:t xml:space="preserve">reta ou indiretamente à contratada, inclusive empregados de eventuais subcontratadas, ou as próprias subcontratadas, que, a seu critério, comprometam o bom andamento dos serviços;</w:t>
      </w:r>
      <w:r/>
    </w:p>
    <w:p>
      <w:pPr>
        <w:pStyle w:val="828"/>
        <w:pBdr/>
        <w:spacing/>
        <w:ind/>
        <w:jc w:val="both"/>
        <w:rPr/>
      </w:pPr>
      <w:r>
        <w:rPr>
          <w:b/>
          <w:bCs/>
        </w:rPr>
        <w:t xml:space="preserve">m) </w:t>
      </w:r>
      <w:r>
        <w:t xml:space="preserve">Receber designação e manter contato com o preposto da contratada, e se for necessário, promover reuniões periódicas ou especiais para a resolução de problemas na entrega dos bens ou na execução dos serviços ou das obras;</w:t>
      </w:r>
      <w:r/>
    </w:p>
    <w:p>
      <w:pPr>
        <w:pStyle w:val="828"/>
        <w:pBdr/>
        <w:spacing/>
        <w:ind/>
        <w:jc w:val="both"/>
        <w:rPr/>
      </w:pPr>
      <w:r>
        <w:rPr>
          <w:b/>
          <w:bCs/>
        </w:rPr>
        <w:t xml:space="preserve">n) </w:t>
      </w:r>
      <w:r>
        <w:t xml:space="preserve">Dar parecer técnico nos pedidos de alterações contratuais; </w:t>
      </w:r>
      <w:r/>
    </w:p>
    <w:p>
      <w:pPr>
        <w:pStyle w:val="828"/>
        <w:pBdr/>
        <w:spacing/>
        <w:ind/>
        <w:jc w:val="both"/>
        <w:rPr/>
      </w:pPr>
      <w:r>
        <w:rPr>
          <w:b/>
          <w:bCs/>
        </w:rPr>
        <w:t xml:space="preserve">o)  </w:t>
      </w:r>
      <w:r>
        <w:t xml:space="preserve">Verificar a correta aplicação dos materia</w:t>
      </w:r>
      <w:r>
        <w:t xml:space="preserve">is; </w:t>
      </w:r>
      <w:r/>
    </w:p>
    <w:p>
      <w:pPr>
        <w:pStyle w:val="828"/>
        <w:pBdr/>
        <w:spacing/>
        <w:ind/>
        <w:jc w:val="both"/>
        <w:rPr/>
      </w:pPr>
      <w:r>
        <w:rPr>
          <w:b/>
          <w:bCs/>
        </w:rPr>
        <w:t xml:space="preserve">p) </w:t>
      </w:r>
      <w:r>
        <w:t xml:space="preserve">Requerer das empresas testes, exames e ensaios quando necessários, no sentido de promoção de controle de qualidade da execução das obras e serviços ou dos bens a serem adquiridos; </w:t>
      </w:r>
      <w:r/>
    </w:p>
    <w:p>
      <w:pPr>
        <w:pStyle w:val="828"/>
        <w:pBdr/>
        <w:spacing/>
        <w:ind/>
        <w:jc w:val="both"/>
        <w:rPr/>
      </w:pPr>
      <w:r>
        <w:rPr>
          <w:b/>
          <w:bCs/>
        </w:rPr>
        <w:t xml:space="preserve">q)  </w:t>
      </w:r>
      <w:r>
        <w:t xml:space="preserve">Realizar, na forma do art. 140 da Lei Federal n.º 14.133, de 2021, o recebimento do objeto contratado, quando for o caso; </w:t>
      </w:r>
      <w:r/>
    </w:p>
    <w:p>
      <w:pPr>
        <w:pStyle w:val="828"/>
        <w:pBdr/>
        <w:spacing/>
        <w:ind/>
        <w:jc w:val="both"/>
        <w:rPr/>
      </w:pPr>
      <w:r>
        <w:rPr>
          <w:b/>
          <w:bCs/>
        </w:rPr>
        <w:t xml:space="preserve">r)  </w:t>
      </w:r>
      <w:r>
        <w:t xml:space="preserve">Propor à autoridade competente a abertura de procedimento administrativo para apuração de responsabilidade;</w:t>
      </w:r>
      <w:r/>
    </w:p>
    <w:p>
      <w:pPr>
        <w:pStyle w:val="828"/>
        <w:pBdr/>
        <w:spacing/>
        <w:ind/>
        <w:jc w:val="both"/>
        <w:rPr/>
      </w:pPr>
      <w:r>
        <w:rPr>
          <w:b/>
          <w:bCs/>
        </w:rPr>
        <w:t xml:space="preserve">s) </w:t>
      </w:r>
      <w:r>
        <w:t xml:space="preserve"> Outras atividades compatíveis com a função. </w:t>
      </w:r>
      <w:r/>
    </w:p>
    <w:p>
      <w:pPr>
        <w:pStyle w:val="828"/>
        <w:pBdr/>
        <w:spacing/>
        <w:ind/>
        <w:jc w:val="both"/>
        <w:rPr/>
      </w:pPr>
      <w:r>
        <w:rPr>
          <w:b/>
          <w:bCs/>
        </w:rPr>
        <w:t xml:space="preserve">6.7. </w:t>
      </w:r>
      <w:r>
        <w:t xml:space="preserve">Além do disposto acima, a fisc</w:t>
      </w:r>
      <w:r>
        <w:t xml:space="preserve">alização contratual obedecerá às seguintes rotinas:</w:t>
      </w:r>
      <w:r/>
    </w:p>
    <w:p>
      <w:pPr>
        <w:pStyle w:val="828"/>
        <w:pBdr/>
        <w:spacing/>
        <w:ind/>
        <w:jc w:val="both"/>
        <w:rPr/>
      </w:pPr>
      <w:r>
        <w:rPr>
          <w:b/>
          <w:bCs/>
        </w:rPr>
        <w:t xml:space="preserve">6.7.1.</w:t>
      </w:r>
      <w:r>
        <w:t xml:space="preserve"> A execução do contrato deverá ainda contar com a atuação do Gestor de Contrato, conforme previsão no art. 8º, §3º da Lei 14.133/2021 e dos artigos 10 e 198 do Decreto Municipal n. 11.685/2023, com as seguintes atribuições:</w:t>
      </w:r>
      <w:r/>
    </w:p>
    <w:p>
      <w:pPr>
        <w:pStyle w:val="828"/>
        <w:pBdr/>
        <w:spacing/>
        <w:ind/>
        <w:jc w:val="both"/>
        <w:rPr/>
      </w:pPr>
      <w:r>
        <w:rPr>
          <w:b/>
          <w:bCs/>
        </w:rPr>
        <w:t xml:space="preserve">a)</w:t>
      </w:r>
      <w:r>
        <w:t xml:space="preserve"> Determinar a elaboração de termo de referência, estudo técnico preliminar, solicitação de aditivos ou apostilamentos, validar os documentos elaborados e garantir que as contratações estejam previstas no plano de contratações an</w:t>
      </w:r>
      <w:r>
        <w:t xml:space="preserve">ual e no planejamento orçamentário; </w:t>
      </w:r>
      <w:r/>
    </w:p>
    <w:p>
      <w:pPr>
        <w:pStyle w:val="828"/>
        <w:pBdr/>
        <w:spacing/>
        <w:ind/>
        <w:jc w:val="both"/>
        <w:rPr/>
      </w:pPr>
      <w:r>
        <w:rPr>
          <w:b/>
          <w:bCs/>
        </w:rPr>
        <w:t xml:space="preserve">b)</w:t>
      </w:r>
      <w:r>
        <w:t xml:space="preserve"> Emitir, com a ciência dos fiscais de contrato, ordens de fornecimento ou ordens de execução de serviço, ordens de paralisação e reinício, bem como decidir sobre pedidos de prorrogação da execução contratual; </w:t>
      </w:r>
      <w:r/>
    </w:p>
    <w:p>
      <w:pPr>
        <w:pStyle w:val="828"/>
        <w:pBdr/>
        <w:spacing/>
        <w:ind/>
        <w:jc w:val="both"/>
        <w:rPr/>
      </w:pPr>
      <w:r>
        <w:rPr>
          <w:b/>
          <w:bCs/>
        </w:rPr>
        <w:t xml:space="preserve">c)</w:t>
      </w:r>
      <w:r>
        <w:t xml:space="preserve"> Indicar os fiscais de contrato e seus substitutos;</w:t>
      </w:r>
      <w:r/>
    </w:p>
    <w:p>
      <w:pPr>
        <w:pStyle w:val="828"/>
        <w:pBdr/>
        <w:spacing/>
        <w:ind/>
        <w:jc w:val="both"/>
        <w:rPr/>
      </w:pPr>
      <w:r>
        <w:rPr>
          <w:b/>
          <w:bCs/>
        </w:rPr>
        <w:t xml:space="preserve">d) </w:t>
      </w:r>
      <w:r>
        <w:t xml:space="preserve">Dirimir dúvidas dos fiscais de contrato sobre a correta execução contratual e sua fiscalização;</w:t>
      </w:r>
      <w:r/>
    </w:p>
    <w:p>
      <w:pPr>
        <w:pStyle w:val="828"/>
        <w:pBdr/>
        <w:spacing/>
        <w:ind/>
        <w:jc w:val="both"/>
        <w:rPr/>
      </w:pPr>
      <w:r>
        <w:rPr>
          <w:b/>
          <w:bCs/>
        </w:rPr>
        <w:t xml:space="preserve">e)</w:t>
      </w:r>
      <w:r>
        <w:t xml:space="preserve"> Quando necessário, convocar e coordenar reuniões, registradas em ata, com a participação da contratada e do</w:t>
      </w:r>
      <w:r>
        <w:t xml:space="preserve">s fiscais, a fim de serem alinhados os procedimentos de acompanhamento da execução contratual, da forma de apresentação dos documentos exigíveis para realização de pagamentos e conclusão da execução contratual; </w:t>
      </w:r>
      <w:r/>
    </w:p>
    <w:p>
      <w:pPr>
        <w:pStyle w:val="828"/>
        <w:pBdr/>
        <w:spacing/>
        <w:ind/>
        <w:jc w:val="both"/>
        <w:rPr/>
      </w:pPr>
      <w:r>
        <w:rPr>
          <w:b/>
          <w:bCs/>
        </w:rPr>
        <w:t xml:space="preserve">f)</w:t>
      </w:r>
      <w:r>
        <w:t xml:space="preserve"> Acompanhar a execução do cronograma físic</w:t>
      </w:r>
      <w:r>
        <w:t xml:space="preserve">o-financeiro e analisar os relatórios de fiscalização de contratos, especialmente os relacionados ao cumprimento do cronograma de entrega e recebimento de bens e serviços, bem como os relacionados à execução do cronograma físico-financeiro das obras e refo</w:t>
      </w:r>
      <w:r>
        <w:t xml:space="preserve">rmas, a fim de garantir a perfeita execução do contrato; </w:t>
      </w:r>
      <w:r/>
    </w:p>
    <w:p>
      <w:pPr>
        <w:pStyle w:val="828"/>
        <w:pBdr/>
        <w:spacing/>
        <w:ind/>
        <w:jc w:val="both"/>
        <w:rPr/>
      </w:pPr>
      <w:r>
        <w:rPr>
          <w:b/>
          <w:bCs/>
        </w:rPr>
        <w:t xml:space="preserve">g) </w:t>
      </w:r>
      <w:r>
        <w:t xml:space="preserve">Observar os prazos de vigência e execução dos contratos e tomar as medidas necessárias para que sejam executados conforme o contratado, de acordo com as necessidades da administração e planejamento orçamentário e financeiro; </w:t>
      </w:r>
      <w:r/>
    </w:p>
    <w:p>
      <w:pPr>
        <w:pStyle w:val="828"/>
        <w:pBdr/>
        <w:spacing/>
        <w:ind/>
        <w:jc w:val="both"/>
        <w:rPr/>
      </w:pPr>
      <w:r>
        <w:rPr>
          <w:b/>
          <w:bCs/>
        </w:rPr>
        <w:t xml:space="preserve">h)</w:t>
      </w:r>
      <w:r>
        <w:t xml:space="preserve"> Decidir sobre a renovação, prorrogação ou alteração dos contratos, ou sobre a realização de novo procedimento licitatório ou de contratação direta, bem como sobre a suspensão da entrega de bens ou da realização de serviços</w:t>
      </w:r>
      <w:r>
        <w:t xml:space="preserve">, de acordo com as necessidades da administração; </w:t>
      </w:r>
      <w:r/>
    </w:p>
    <w:p>
      <w:pPr>
        <w:pStyle w:val="828"/>
        <w:pBdr/>
        <w:spacing/>
        <w:ind/>
        <w:jc w:val="both"/>
        <w:rPr/>
      </w:pPr>
      <w:r>
        <w:rPr>
          <w:b/>
          <w:bCs/>
        </w:rPr>
        <w:t xml:space="preserve">i)</w:t>
      </w:r>
      <w:r>
        <w:t xml:space="preserve"> Quando necessário, negociar com a contratada as condições contratuais;</w:t>
      </w:r>
      <w:r/>
    </w:p>
    <w:p>
      <w:pPr>
        <w:pStyle w:val="828"/>
        <w:pBdr/>
        <w:spacing/>
        <w:ind/>
        <w:jc w:val="both"/>
        <w:rPr/>
      </w:pPr>
      <w:r>
        <w:rPr>
          <w:b/>
          <w:bCs/>
        </w:rPr>
        <w:t xml:space="preserve">j)</w:t>
      </w:r>
      <w:r>
        <w:t xml:space="preserve"> Encaminhar os processos de pagamento, após o atesto da nota fiscal pelo fiscal do contrato; </w:t>
      </w:r>
      <w:r/>
    </w:p>
    <w:p>
      <w:pPr>
        <w:pStyle w:val="828"/>
        <w:pBdr/>
        <w:spacing/>
        <w:ind/>
        <w:jc w:val="both"/>
        <w:rPr/>
      </w:pPr>
      <w:r>
        <w:rPr>
          <w:b/>
          <w:bCs/>
        </w:rPr>
        <w:t xml:space="preserve">k)</w:t>
      </w:r>
      <w:r>
        <w:t xml:space="preserve"> Tomar providências para apurar o descumprimento do contrato ou fraude na sua execução; </w:t>
      </w:r>
      <w:r/>
    </w:p>
    <w:p>
      <w:pPr>
        <w:pStyle w:val="828"/>
        <w:pBdr/>
        <w:spacing/>
        <w:ind/>
        <w:jc w:val="both"/>
        <w:rPr/>
      </w:pPr>
      <w:r>
        <w:rPr>
          <w:b/>
          <w:bCs/>
        </w:rPr>
        <w:t xml:space="preserve">l) </w:t>
      </w:r>
      <w:r>
        <w:t xml:space="preserve">Exigir dos fiscais a inclusão tempestiva das informações relativas à execução do contrato nos sistemas corporativos de controle, publicidade e transparência, inclusive no PNCP;</w:t>
      </w:r>
      <w:r/>
    </w:p>
    <w:p>
      <w:pPr>
        <w:pStyle w:val="828"/>
        <w:pBdr/>
        <w:spacing/>
        <w:ind/>
        <w:jc w:val="both"/>
        <w:rPr/>
      </w:pPr>
      <w:r>
        <w:rPr>
          <w:b/>
          <w:bCs/>
        </w:rPr>
        <w:t xml:space="preserve">m)</w:t>
      </w:r>
      <w:r>
        <w:t xml:space="preserve"> Coordenar as ativ</w:t>
      </w:r>
      <w:r>
        <w:t xml:space="preserve">idades relacionadas à fiscalização técnica e administrativa do contrato; </w:t>
      </w:r>
      <w:r/>
    </w:p>
    <w:p>
      <w:pPr>
        <w:pStyle w:val="828"/>
        <w:pBdr/>
        <w:spacing/>
        <w:ind/>
        <w:jc w:val="both"/>
        <w:rPr/>
      </w:pPr>
      <w:r>
        <w:rPr>
          <w:b/>
          <w:bCs/>
        </w:rPr>
        <w:t xml:space="preserve">n)</w:t>
      </w:r>
      <w:r>
        <w:t xml:space="preserve"> Emitir decisão sobre as solicitações e reclamações relacionadas à execução dos contratos; </w:t>
      </w:r>
      <w:r/>
    </w:p>
    <w:p>
      <w:pPr>
        <w:pStyle w:val="828"/>
        <w:pBdr/>
        <w:spacing/>
        <w:ind/>
        <w:jc w:val="both"/>
        <w:rPr/>
      </w:pPr>
      <w:r>
        <w:rPr>
          <w:b/>
          <w:bCs/>
        </w:rPr>
        <w:t xml:space="preserve">o)</w:t>
      </w:r>
      <w:r>
        <w:t xml:space="preserve"> Acompanhar os registro</w:t>
      </w:r>
      <w:r>
        <w:t xml:space="preserve">s realizados pelos fiscais do contrato ou dos terceiros contratados a respeito de todas as ocorrências relacionadas à execução do contrato e as medidas adotadas, informando, se for o caso, à autoridade superior àquelas que ultrapassarem a sua competência; </w:t>
      </w:r>
      <w:r/>
    </w:p>
    <w:p>
      <w:pPr>
        <w:pStyle w:val="828"/>
        <w:pBdr/>
        <w:spacing/>
        <w:ind/>
        <w:jc w:val="both"/>
        <w:rPr/>
      </w:pPr>
      <w:r>
        <w:rPr>
          <w:b/>
          <w:bCs/>
        </w:rPr>
        <w:t xml:space="preserve">p)</w:t>
      </w:r>
      <w:r>
        <w:t xml:space="preserve"> Constituir relatório final, de que trata a alínea “d” do in</w:t>
      </w:r>
      <w:r>
        <w:t xml:space="preserve">ciso VI do § 3º do art. 174 da Lei Federal nº 14.133, de 1º de abril de 2021, com as informações obtidas durante a execução do contrato, como forma de aprimoramento das atividades da Administração.</w:t>
      </w:r>
      <w:r/>
    </w:p>
    <w:p>
      <w:pPr>
        <w:pStyle w:val="828"/>
        <w:pBdr/>
        <w:spacing/>
        <w:ind/>
        <w:jc w:val="both"/>
        <w:rPr/>
      </w:pPr>
      <w:r>
        <w:rPr>
          <w:b/>
          <w:bCs/>
        </w:rPr>
        <w:t xml:space="preserve">q)</w:t>
      </w:r>
      <w:r>
        <w:t xml:space="preserve"> outras atividades compatíveis com a função, determinadas pela autoridade competente. </w:t>
      </w:r>
      <w:r/>
    </w:p>
    <w:p>
      <w:pPr>
        <w:pStyle w:val="828"/>
        <w:pBdr/>
        <w:spacing/>
        <w:ind/>
        <w:jc w:val="both"/>
        <w:rPr/>
      </w:pPr>
      <w:r>
        <w:rPr>
          <w:b/>
          <w:bCs/>
        </w:rPr>
        <w:t xml:space="preserve">r) </w:t>
      </w:r>
      <w:r>
        <w:t xml:space="preserve">As ausências e impedimentos dos fiscais titulares e substitutos, o gestor de contrato deverá designar fiscal provisório, preferencialmente entre servidores que preencham os requisitos técnicos profissionais aplicáveis. </w:t>
      </w:r>
      <w:r/>
    </w:p>
    <w:p>
      <w:pPr>
        <w:pStyle w:val="828"/>
        <w:pBdr/>
        <w:spacing/>
        <w:ind/>
        <w:jc w:val="both"/>
        <w:rPr/>
      </w:pPr>
      <w:r>
        <w:rPr>
          <w:b/>
          <w:bCs/>
        </w:rPr>
        <w:t xml:space="preserve">s)</w:t>
      </w:r>
      <w:r>
        <w:t xml:space="preserve"> Na fo</w:t>
      </w:r>
      <w:r>
        <w:t xml:space="preserve">rma do disposto no artigo 107 da Lei Federal n.º 14.133, de 2021, o gestor do contrato poderá negociar condições mais vantajosas com a contratada no procedimento que antecede a prorrogação ou a extinção dos contratos de serviços e fornecimentos contínuos. </w:t>
      </w:r>
      <w:r/>
    </w:p>
    <w:p>
      <w:pPr>
        <w:pStyle w:val="828"/>
        <w:pBdr/>
        <w:spacing/>
        <w:ind/>
        <w:jc w:val="both"/>
        <w:rPr>
          <w:b/>
          <w:bCs/>
        </w:rPr>
      </w:pPr>
      <w:r>
        <w:rPr>
          <w:b/>
          <w:bCs/>
        </w:rPr>
        <w:t xml:space="preserve">6.8. DO EQUILÍBRIO ECONÔMICO-FINANCEIRO E REAJUSTAMENTO </w:t>
      </w:r>
      <w:r>
        <w:rPr>
          <w:b/>
          <w:bCs/>
        </w:rPr>
      </w:r>
    </w:p>
    <w:p>
      <w:pPr>
        <w:pStyle w:val="828"/>
        <w:pBdr/>
        <w:spacing/>
        <w:ind/>
        <w:jc w:val="both"/>
        <w:rPr>
          <w:b/>
          <w:bCs/>
        </w:rPr>
      </w:pPr>
      <w:r>
        <w:rPr>
          <w:b/>
          <w:bCs/>
        </w:rPr>
        <w:t xml:space="preserve">6.8.1. </w:t>
      </w:r>
      <w:r>
        <w:t xml:space="preserve">Tratando-se de fornecimento de bens, os preços contratados serão irreajustáveis durante o prazo de 12 (doze) meses. </w:t>
      </w:r>
      <w:r>
        <w:rPr>
          <w:b/>
          <w:bCs/>
        </w:rPr>
      </w:r>
      <w:r>
        <w:rPr>
          <w:b/>
          <w:bCs/>
        </w:rPr>
      </w:r>
    </w:p>
    <w:p>
      <w:pPr>
        <w:pStyle w:val="828"/>
        <w:pBdr/>
        <w:spacing/>
        <w:ind/>
        <w:jc w:val="both"/>
        <w:rPr/>
      </w:pPr>
      <w:r>
        <w:rPr>
          <w:b/>
          <w:bCs/>
        </w:rPr>
        <w:t xml:space="preserve">6.8.2. </w:t>
      </w:r>
      <w:r>
        <w:t xml:space="preserve">Ao fim dos doze meses iniciais de vigência do Contrato, caso </w:t>
      </w:r>
      <w:r>
        <w:t xml:space="preserve">decidido pela sua prorrogação, será aplicado o Reajustamento em Sentido Estrito, corrigindo-se os valores pelo índice do IPCA (Índice Nacional de Preços ao Consumidor Amplo) calculado pelo IBGE, ou outro que venha a substituí-lo. </w:t>
      </w:r>
      <w:r/>
    </w:p>
    <w:p>
      <w:pPr>
        <w:pStyle w:val="828"/>
        <w:pBdr/>
        <w:spacing/>
        <w:ind/>
        <w:jc w:val="both"/>
        <w:rPr/>
      </w:pPr>
      <w:r>
        <w:rPr>
          <w:b/>
          <w:bCs/>
        </w:rPr>
        <w:t xml:space="preserve">6.8.3. </w:t>
      </w:r>
      <w:r>
        <w:t xml:space="preserve">Será facultado à c</w:t>
      </w:r>
      <w:r>
        <w:t xml:space="preserve">ontratada solicitar a Revisão Contratual para a recomposição do equilíbrio econômico-financeiro inicial do contrato, nos termos do art. 124, inciso II, alínea "d", da Lei nº 14.133/2021, sempre que ocorrerem fatos imprevisíveis ou previsíveis de consequênc</w:t>
      </w:r>
      <w:r>
        <w:t xml:space="preserve">ias incalculáveis que onerem a</w:t>
      </w:r>
      <w:r>
        <w:t xml:space="preserve"> execução do objeto (ex: força maior, caso fortuito ou fato do príncipe). O prazo para manifestação da Administração será de até 60 (sessenta) dias, contados do recebimento do pedido formalizado e instruído com demonstração analítica da variação de custos.</w:t>
      </w:r>
      <w:r/>
    </w:p>
    <w:p>
      <w:pPr>
        <w:pStyle w:val="828"/>
        <w:pBdr/>
        <w:spacing/>
        <w:ind/>
        <w:jc w:val="both"/>
        <w:rPr/>
      </w:pPr>
      <w:r>
        <w:rPr>
          <w:b/>
          <w:bCs/>
        </w:rPr>
        <w:t xml:space="preserve">6.9. DAS OBRIGAÇÕES DA CONTRATANTE:</w:t>
      </w:r>
      <w:r/>
    </w:p>
    <w:p>
      <w:pPr>
        <w:pStyle w:val="828"/>
        <w:pBdr/>
        <w:spacing/>
        <w:ind/>
        <w:jc w:val="both"/>
        <w:rPr/>
      </w:pPr>
      <w:r>
        <w:rPr>
          <w:b/>
          <w:bCs/>
        </w:rPr>
        <w:t xml:space="preserve">6.9.1. </w:t>
      </w:r>
      <w:r>
        <w:t xml:space="preserve">Notificar a licitante vencedora a assinar o contrato, ou outro documento equivalente, no prazo de até 05 (cinco) dias úteis e comunicar demais informações que achar pertinentes para </w:t>
      </w:r>
      <w:r>
        <w:t xml:space="preserve">o bom cumprimento do objeto; </w:t>
      </w:r>
      <w:r/>
    </w:p>
    <w:p>
      <w:pPr>
        <w:pStyle w:val="828"/>
        <w:pBdr/>
        <w:spacing/>
        <w:ind/>
        <w:jc w:val="both"/>
        <w:rPr/>
      </w:pPr>
      <w:r>
        <w:rPr>
          <w:b/>
          <w:bCs/>
        </w:rPr>
        <w:t xml:space="preserve">6.9.2. </w:t>
      </w:r>
      <w:r>
        <w:t xml:space="preserve">Proporcionar todas as facilidades indispensáveis à boa execução das obrigações contratuais, inclusive permitindo o acesso de empregados, prepostos ou representantes da contratada em suas dependências, quando for o caso. </w:t>
      </w:r>
      <w:r/>
    </w:p>
    <w:p>
      <w:pPr>
        <w:pStyle w:val="828"/>
        <w:pBdr/>
        <w:spacing/>
        <w:ind/>
        <w:jc w:val="both"/>
        <w:rPr/>
      </w:pPr>
      <w:r>
        <w:rPr>
          <w:b/>
          <w:bCs/>
        </w:rPr>
        <w:t xml:space="preserve">6.9.3</w:t>
      </w:r>
      <w:r>
        <w:t xml:space="preserve">. Rejeitar, no todo ou em parte, os itens entregues em desacordo com as obrigações assumidas pelo fornecedor. </w:t>
      </w:r>
      <w:r/>
    </w:p>
    <w:p>
      <w:pPr>
        <w:pStyle w:val="828"/>
        <w:pBdr/>
        <w:spacing/>
        <w:ind/>
        <w:jc w:val="both"/>
        <w:rPr/>
      </w:pPr>
      <w:r>
        <w:rPr>
          <w:b/>
          <w:bCs/>
        </w:rPr>
        <w:t xml:space="preserve">6.9.4. </w:t>
      </w:r>
      <w:r>
        <w:t xml:space="preserve">Notificar a CONTRATADA de qualquer irregularidade encontrada nos produtos fornecidos. </w:t>
      </w:r>
      <w:r/>
    </w:p>
    <w:p>
      <w:pPr>
        <w:pStyle w:val="828"/>
        <w:pBdr/>
        <w:spacing/>
        <w:ind/>
        <w:jc w:val="both"/>
        <w:rPr/>
      </w:pPr>
      <w:r>
        <w:rPr>
          <w:b/>
          <w:bCs/>
        </w:rPr>
        <w:t xml:space="preserve">6.9.5.</w:t>
      </w:r>
      <w:r>
        <w:t xml:space="preserve"> Efetuar o pagamento à CONTRATADA, nas</w:t>
      </w:r>
      <w:r>
        <w:t xml:space="preserve"> condições estabelecidas no edital. </w:t>
      </w:r>
      <w:r/>
    </w:p>
    <w:p>
      <w:pPr>
        <w:pStyle w:val="828"/>
        <w:pBdr/>
        <w:spacing/>
        <w:ind/>
        <w:jc w:val="both"/>
        <w:rPr/>
      </w:pPr>
      <w:r>
        <w:rPr>
          <w:b/>
          <w:bCs/>
        </w:rPr>
        <w:t xml:space="preserve">6.9.6. </w:t>
      </w:r>
      <w:r>
        <w:t xml:space="preserve">Nenhum pagamento será efetuado à empresa adjudicatária, enquanto pendente de liquidação qualquer obrigação. </w:t>
      </w:r>
      <w:r>
        <w:rPr>
          <w:b/>
          <w:bCs/>
        </w:rPr>
        <w:t xml:space="preserve">6.9.7.</w:t>
      </w:r>
      <w:r>
        <w:t xml:space="preserve"> Esse fato não será gerador de direito a reajustamento de preços ou a atualização monetária. </w:t>
      </w:r>
      <w:r/>
    </w:p>
    <w:p>
      <w:pPr>
        <w:pStyle w:val="828"/>
        <w:pBdr/>
        <w:spacing/>
        <w:ind/>
        <w:jc w:val="both"/>
        <w:rPr/>
      </w:pPr>
      <w:r>
        <w:rPr>
          <w:b/>
          <w:bCs/>
        </w:rPr>
        <w:t xml:space="preserve">6.9.8.</w:t>
      </w:r>
      <w:r>
        <w:t xml:space="preserve"> Não haverá, sob hipótese alguma, pagamento antecipado. </w:t>
      </w:r>
      <w:r/>
    </w:p>
    <w:p>
      <w:pPr>
        <w:pStyle w:val="828"/>
        <w:pBdr/>
        <w:spacing/>
        <w:ind/>
        <w:jc w:val="both"/>
        <w:rPr/>
      </w:pPr>
      <w:r>
        <w:rPr>
          <w:b/>
          <w:bCs/>
        </w:rPr>
        <w:t xml:space="preserve">6.9.9.</w:t>
      </w:r>
      <w:r>
        <w:t xml:space="preserve"> Coordenar e fiscalizar a entrega dos produtos pertinentes à aquisição. </w:t>
      </w:r>
      <w:r/>
    </w:p>
    <w:p>
      <w:pPr>
        <w:pStyle w:val="828"/>
        <w:pBdr/>
        <w:spacing/>
        <w:ind/>
        <w:jc w:val="both"/>
        <w:rPr/>
      </w:pPr>
      <w:r>
        <w:rPr>
          <w:b/>
          <w:bCs/>
        </w:rPr>
        <w:t xml:space="preserve">6.9.10. </w:t>
      </w:r>
      <w:r>
        <w:t xml:space="preserve">Prestar as informações e os esclarecimentos que fizerem necessários. </w:t>
      </w:r>
      <w:r/>
    </w:p>
    <w:p>
      <w:pPr>
        <w:pStyle w:val="828"/>
        <w:pBdr/>
        <w:spacing/>
        <w:ind/>
        <w:jc w:val="both"/>
        <w:rPr/>
      </w:pPr>
      <w:r>
        <w:rPr>
          <w:b/>
          <w:bCs/>
        </w:rPr>
        <w:t xml:space="preserve">6.10. DAS OBRIGAÇÕES DA CONTRATADA: </w:t>
      </w:r>
      <w:r/>
    </w:p>
    <w:p>
      <w:pPr>
        <w:pStyle w:val="828"/>
        <w:pBdr/>
        <w:spacing/>
        <w:ind/>
        <w:jc w:val="both"/>
        <w:rPr/>
      </w:pPr>
      <w:r>
        <w:rPr>
          <w:b/>
          <w:bCs/>
        </w:rPr>
        <w:t xml:space="preserve">6.1</w:t>
      </w:r>
      <w:r>
        <w:rPr>
          <w:b/>
          <w:bCs/>
        </w:rPr>
        <w:t xml:space="preserve">0.1. </w:t>
      </w:r>
      <w:r>
        <w:t xml:space="preserve">Após a homologação da licitação, comparecer a Prefeitura Municipal para assinatura do contrato, ou outro documento equivalente, em até 5 (cinco) dias úteis, contados do recebimento da convocação formal;</w:t>
      </w:r>
      <w:r/>
    </w:p>
    <w:p>
      <w:pPr>
        <w:pStyle w:val="828"/>
        <w:pBdr/>
        <w:spacing/>
        <w:ind/>
        <w:jc w:val="both"/>
        <w:rPr/>
      </w:pPr>
      <w:r>
        <w:rPr>
          <w:b/>
          <w:bCs/>
        </w:rPr>
        <w:t xml:space="preserve">6.10.2. </w:t>
      </w:r>
      <w:r>
        <w:t xml:space="preserve">A Administração, em </w:t>
      </w:r>
      <w:r>
        <w:t xml:space="preserve">vez de convocar o adjudicatário, poderá encaminhá-lo, o instrumento contratual, mediante correspondência postal com aviso de recebimento (AR) ou meio eletrônico, para que seja assinado no prazo de 03 (três) dias úteis, a contar da data de seu recebimento. </w:t>
      </w:r>
      <w:r/>
    </w:p>
    <w:p>
      <w:pPr>
        <w:pStyle w:val="828"/>
        <w:pBdr/>
        <w:spacing/>
        <w:ind/>
        <w:jc w:val="both"/>
        <w:rPr/>
      </w:pPr>
      <w:r>
        <w:rPr>
          <w:b/>
          <w:bCs/>
        </w:rPr>
        <w:t xml:space="preserve">6.10.3. </w:t>
      </w:r>
      <w:r>
        <w:t xml:space="preserve">O prazo pre</w:t>
      </w:r>
      <w:r>
        <w:t xml:space="preserve">visto no subitem anterior poderá ser prorrogado, por igual período, por solicitação justificada do adjudicatário e aceita pela Administração.</w:t>
      </w:r>
      <w:r/>
    </w:p>
    <w:p>
      <w:pPr>
        <w:pStyle w:val="828"/>
        <w:pBdr/>
        <w:spacing/>
        <w:ind/>
        <w:jc w:val="both"/>
        <w:rPr/>
      </w:pPr>
      <w:r>
        <w:rPr>
          <w:b/>
          <w:bCs/>
        </w:rPr>
        <w:t xml:space="preserve">6.10.4. </w:t>
      </w:r>
      <w:r>
        <w:t xml:space="preserve">Executar o fornecimento dentro dos padrões estabelecidos pela administração, de acordo com a especificação do Edital, responsabilizando-se por eventuais prejuízos decorrentes do descumprimento de condição estabelecida; </w:t>
      </w:r>
      <w:r/>
    </w:p>
    <w:p>
      <w:pPr>
        <w:pStyle w:val="828"/>
        <w:pBdr/>
        <w:spacing/>
        <w:ind/>
        <w:jc w:val="both"/>
        <w:rPr/>
      </w:pPr>
      <w:r>
        <w:rPr>
          <w:b/>
          <w:bCs/>
        </w:rPr>
        <w:t xml:space="preserve">6.10.5. </w:t>
      </w:r>
      <w:r>
        <w:t xml:space="preserve">Dispor-se a toda e qualquer fiscalização da PREFEITURA, no tocante ao fornecimento do objeto licitado, assim como ao cumprimento das o</w:t>
      </w:r>
      <w:r>
        <w:t xml:space="preserve">brigações previstas na ata de registro de preços;</w:t>
      </w:r>
      <w:r/>
    </w:p>
    <w:p>
      <w:pPr>
        <w:pStyle w:val="828"/>
        <w:pBdr/>
        <w:spacing/>
        <w:ind/>
        <w:jc w:val="both"/>
        <w:rPr/>
      </w:pPr>
      <w:r>
        <w:rPr>
          <w:b/>
          <w:bCs/>
        </w:rPr>
        <w:t xml:space="preserve">6.10.6. </w:t>
      </w:r>
      <w:r>
        <w:t xml:space="preserve">Prover todos os meios necessários à garantia da plena operacionalidade do fornecimento, inclusive considerados os casos de greve ou paralisação de qualquer natureza; </w:t>
      </w:r>
      <w:r/>
    </w:p>
    <w:p>
      <w:pPr>
        <w:pStyle w:val="828"/>
        <w:pBdr/>
        <w:spacing/>
        <w:ind/>
        <w:jc w:val="both"/>
        <w:rPr/>
      </w:pPr>
      <w:r>
        <w:rPr>
          <w:b/>
          <w:bCs/>
        </w:rPr>
        <w:t xml:space="preserve">6.10.7. </w:t>
      </w:r>
      <w:r>
        <w:t xml:space="preserve">O atraso na entrega do </w:t>
      </w:r>
      <w:r>
        <w:t xml:space="preserve">objeto licitado no prazo estabelecido em edital, não poderá ser alegado como motivo de força maior, má execução ou inexecução da entrega, objeto do contrato e não a eximirá das penalidades a que está sujeita pelo não cumprimento dos prazos e demais condiçõ</w:t>
      </w:r>
      <w:r>
        <w:t xml:space="preserve">es estabelecidas; </w:t>
      </w:r>
      <w:r/>
    </w:p>
    <w:p>
      <w:pPr>
        <w:pStyle w:val="828"/>
        <w:pBdr/>
        <w:spacing/>
        <w:ind/>
        <w:jc w:val="both"/>
        <w:rPr/>
      </w:pPr>
      <w:r>
        <w:rPr>
          <w:b/>
          <w:bCs/>
        </w:rPr>
        <w:t xml:space="preserve">6.10.8. </w:t>
      </w:r>
      <w:r>
        <w:t xml:space="preserve">Comunicar imediatamente à PREFEITURA qualquer alteração ocorrida no endereço, conta bancária e outros dados julgáveis necessários para recebimento de correspondência; </w:t>
      </w:r>
      <w:r/>
    </w:p>
    <w:p>
      <w:pPr>
        <w:pStyle w:val="828"/>
        <w:pBdr/>
        <w:spacing/>
        <w:ind/>
        <w:jc w:val="both"/>
        <w:rPr/>
      </w:pPr>
      <w:r>
        <w:rPr>
          <w:b/>
          <w:bCs/>
        </w:rPr>
        <w:t xml:space="preserve">6.10.9. </w:t>
      </w:r>
      <w:r>
        <w:t xml:space="preserve">Fiscalizar o perfeito cumprimento do fornecimento a que se obrigou, cabendo-lhe, integralmente, os ônus decorrentes. Tal fiscalização dar-se-á independentemente da que será exercida pela PREFEITURA; </w:t>
      </w:r>
      <w:r/>
    </w:p>
    <w:p>
      <w:pPr>
        <w:pStyle w:val="828"/>
        <w:pBdr/>
        <w:spacing/>
        <w:ind/>
        <w:jc w:val="both"/>
        <w:rPr/>
      </w:pPr>
      <w:r>
        <w:rPr>
          <w:b/>
          <w:bCs/>
        </w:rPr>
        <w:t xml:space="preserve">6.10.10. </w:t>
      </w:r>
      <w:r>
        <w:t xml:space="preserve">Indenizar terceiros e/ou ao Órgão/Entidade, mesmo em caso de ausência ou omissão de fiscalização de </w:t>
      </w:r>
      <w:r>
        <w:t xml:space="preserve">sua parte, pelos danos causados por sua culpa ou dolo, devendo a contratada adotar todas as medidas preventivas, com fiel observância às exigências das autoridades competentes e às disposições legais vigentes; </w:t>
      </w:r>
      <w:r/>
    </w:p>
    <w:p>
      <w:pPr>
        <w:pStyle w:val="828"/>
        <w:pBdr/>
        <w:spacing/>
        <w:ind/>
        <w:jc w:val="both"/>
        <w:rPr/>
      </w:pPr>
      <w:r>
        <w:rPr>
          <w:b/>
          <w:bCs/>
        </w:rPr>
        <w:t xml:space="preserve">6.10.11. </w:t>
      </w:r>
      <w:r>
        <w:t xml:space="preserve">A contratada ficará </w:t>
      </w:r>
      <w:r>
        <w:t xml:space="preserve">obrigada a aceitar nas mesmas condições deste edital, os acréscimos ou supressões que se fizerem necessários, até 25% (vinte e cinco por cento) do valor do objeto adjudicado, devendo supressões acima desse limite ser resultantes de acordo entre as partes; </w:t>
      </w:r>
      <w:r/>
    </w:p>
    <w:p>
      <w:pPr>
        <w:pStyle w:val="828"/>
        <w:pBdr/>
        <w:spacing/>
        <w:ind/>
        <w:jc w:val="both"/>
        <w:rPr/>
      </w:pPr>
      <w:r>
        <w:rPr>
          <w:b/>
          <w:bCs/>
        </w:rPr>
        <w:t xml:space="preserve">6.10.12. </w:t>
      </w:r>
      <w:r>
        <w:t xml:space="preserve">Arcar </w:t>
      </w:r>
      <w:r>
        <w:t xml:space="preserve">com todo e qualquer tipo de autuação ou ação que venha a sofrer em decorrência do fornecimento em questão, bem como pelos mesmos nos casos que envolvam eventuais decisões judiciais, eximindo o Órgão/Entidade de qualquer solidariedade ou responsabilidade. </w:t>
      </w:r>
      <w:r/>
    </w:p>
    <w:p>
      <w:pPr>
        <w:pStyle w:val="828"/>
        <w:pBdr/>
        <w:spacing/>
        <w:ind/>
        <w:jc w:val="both"/>
        <w:rPr/>
      </w:pPr>
      <w:r>
        <w:rPr>
          <w:b/>
          <w:bCs/>
        </w:rPr>
        <w:t xml:space="preserve">6.10.13. </w:t>
      </w:r>
      <w:r>
        <w:t xml:space="preserve">Todos os impostos e taxas que forem devidos em decorrência das contratações do objeto do Edital correrão por conta exclusiva da contratada. </w:t>
      </w:r>
      <w:r/>
    </w:p>
    <w:p>
      <w:pPr>
        <w:pStyle w:val="828"/>
        <w:pBdr/>
        <w:spacing/>
        <w:ind/>
        <w:jc w:val="both"/>
        <w:rPr/>
      </w:pPr>
      <w:r>
        <w:rPr>
          <w:b/>
          <w:bCs/>
        </w:rPr>
        <w:t xml:space="preserve">6.10.14. </w:t>
      </w:r>
      <w:r>
        <w:t xml:space="preserve">Como condição para pagamento, a licitante vencedora deverá obrigatoriamente apresentar novamente </w:t>
      </w:r>
      <w:r>
        <w:t xml:space="preserve">a documentação que comprova sua regularidade fiscal e trabalhista, conforme apresentado na fase de habilitação.</w:t>
      </w:r>
      <w:r/>
    </w:p>
    <w:p>
      <w:pPr>
        <w:pStyle w:val="828"/>
        <w:pBdr/>
        <w:spacing/>
        <w:ind/>
        <w:jc w:val="both"/>
        <w:rPr/>
      </w:pPr>
      <w:r>
        <w:rPr>
          <w:b/>
          <w:bCs/>
        </w:rPr>
        <w:t xml:space="preserve">6.10.15. </w:t>
      </w:r>
      <w:r>
        <w:t xml:space="preserve">Cumprir integralmente a legislação trabalhista e previdenciária vigente, em especial as exigências relativas à reserva legal de cargos </w:t>
      </w:r>
      <w:r>
        <w:t xml:space="preserve">para pessoas com deficiência (Lei nº 8.213/1991), beneficiários reabilitados da Previdência Social e aprendizes (Lei nº 10.097/2000), bem como observar as normas correlatas expedidas pelos órgãos competentes. O não atendimento a essas obrigações poderá ens</w:t>
      </w:r>
      <w:r>
        <w:t xml:space="preserve">ejar aplicação de sanções administrativas, sem prejuízo das demais medidas cabíveis.</w:t>
      </w:r>
      <w:r/>
    </w:p>
    <w:p>
      <w:pPr>
        <w:pStyle w:val="828"/>
        <w:pBdr/>
        <w:spacing/>
        <w:ind/>
        <w:jc w:val="both"/>
        <w:rPr>
          <w:b/>
          <w:bCs/>
        </w:rPr>
      </w:pPr>
      <w:r>
        <w:rPr>
          <w:b/>
          <w:bCs/>
        </w:rPr>
        <w:t xml:space="preserve">6.11. EXTINÇÃO DO CONTRATO</w:t>
      </w:r>
      <w:r>
        <w:rPr>
          <w:b/>
          <w:bCs/>
        </w:rPr>
      </w:r>
    </w:p>
    <w:p>
      <w:pPr>
        <w:pStyle w:val="828"/>
        <w:pBdr/>
        <w:spacing/>
        <w:ind/>
        <w:jc w:val="both"/>
        <w:rPr/>
      </w:pPr>
      <w:r>
        <w:rPr>
          <w:b/>
          <w:bCs/>
        </w:rPr>
        <w:t xml:space="preserve">6.11.1. </w:t>
      </w:r>
      <w:r>
        <w:t xml:space="preserve">A inexecução total ou parcial do contrato enseja a sua extinção, com as consequências contratuais e as previstas em lei ou regulamento administrativo;</w:t>
      </w:r>
      <w:r/>
    </w:p>
    <w:p>
      <w:pPr>
        <w:pStyle w:val="828"/>
        <w:pBdr/>
        <w:spacing/>
        <w:ind/>
        <w:jc w:val="both"/>
        <w:rPr/>
      </w:pPr>
      <w:r>
        <w:rPr>
          <w:b/>
          <w:bCs/>
        </w:rPr>
        <w:t xml:space="preserve">6.11.2. </w:t>
      </w:r>
      <w:r>
        <w:t xml:space="preserve">Poderão ser motivos de extinção contratual, as hipóteses descritas no Art. 137 da lei 14.133/21, podendo a mesmo ser unilateral, amigável ou judicial, podendo ocorrer nos termos e condições do Art.138 e 139 da referida lei e suas alt</w:t>
      </w:r>
      <w:r>
        <w:t xml:space="preserve">erações;</w:t>
      </w:r>
      <w:r/>
    </w:p>
    <w:p>
      <w:pPr>
        <w:pStyle w:val="828"/>
        <w:pBdr/>
        <w:spacing/>
        <w:ind/>
        <w:jc w:val="both"/>
        <w:rPr/>
      </w:pPr>
      <w:r>
        <w:rPr>
          <w:b/>
          <w:bCs/>
        </w:rPr>
        <w:t xml:space="preserve">6.11.3.</w:t>
      </w:r>
      <w:r>
        <w:t xml:space="preserve"> A CONTRATADA reconhece os direitos da CONTRATANTE nos casos de extinção do § 2º Art. 138 da lei 14.133/21.</w:t>
      </w:r>
      <w:r/>
    </w:p>
    <w:p>
      <w:pPr>
        <w:pStyle w:val="828"/>
        <w:pBdr/>
        <w:spacing/>
        <w:ind/>
        <w:jc w:val="both"/>
        <w:rPr>
          <w:b/>
          <w:bCs/>
        </w:rPr>
      </w:pPr>
      <w:r>
        <w:rPr>
          <w:b/>
          <w:bCs/>
        </w:rPr>
        <w:t xml:space="preserve">6.12. DO REAJUSTE DO CONTRATO</w:t>
      </w:r>
      <w:r>
        <w:rPr>
          <w:b/>
          <w:bCs/>
        </w:rPr>
      </w:r>
    </w:p>
    <w:p>
      <w:pPr>
        <w:pStyle w:val="828"/>
        <w:pBdr/>
        <w:spacing/>
        <w:ind/>
        <w:jc w:val="both"/>
        <w:rPr/>
      </w:pPr>
      <w:r>
        <w:rPr>
          <w:b/>
          <w:bCs/>
        </w:rPr>
        <w:t xml:space="preserve">6.12.1. </w:t>
      </w:r>
      <w:r>
        <w:t xml:space="preserve">Durante o prazo de 12 ( doze) meses da vigência do Contrato, os preços serão irreajustáveis.</w:t>
      </w:r>
      <w:r/>
    </w:p>
    <w:p>
      <w:pPr>
        <w:pStyle w:val="828"/>
        <w:pBdr/>
        <w:spacing/>
        <w:ind/>
        <w:jc w:val="both"/>
        <w:rPr/>
      </w:pPr>
      <w:r>
        <w:rPr>
          <w:b/>
          <w:bCs/>
        </w:rPr>
        <w:t xml:space="preserve">6.12.2. </w:t>
      </w:r>
      <w:r>
        <w:t xml:space="preserve">Ao fim dos doze meses iniciais de vigência do Contrato, caso decidido pela sua prorrogação, os reajustes serão corrigidos pelo índice do IPCA (Índice Nacional de Preços ao Consumidor Amplo) calculado pelo IBGE (Instituto Brasileiro de Geografia e Es</w:t>
      </w:r>
      <w:r>
        <w:t xml:space="preserve">tatística), ou outro que venha substituí-lo.</w:t>
      </w:r>
      <w:r/>
    </w:p>
    <w:p>
      <w:pPr>
        <w:pStyle w:val="828"/>
        <w:pBdr/>
        <w:spacing/>
        <w:ind/>
        <w:jc w:val="both"/>
        <w:rPr/>
      </w:pPr>
      <w:r/>
      <w:r/>
    </w:p>
    <w:p>
      <w:pPr>
        <w:pStyle w:val="828"/>
        <w:pBdr/>
        <w:shd w:val="clear" w:color="auto" w:fill="cccccc"/>
        <w:spacing/>
        <w:ind/>
        <w:jc w:val="both"/>
        <w:rPr/>
      </w:pPr>
      <w:r>
        <w:rPr>
          <w:b/>
          <w:bCs/>
        </w:rPr>
        <w:t xml:space="preserve">7 – CRITÉRIOS DE RECEBIMENTO/ MEDIÇÃO E DE PAGAMENTO</w:t>
      </w:r>
      <w:r/>
    </w:p>
    <w:p>
      <w:pPr>
        <w:pStyle w:val="828"/>
        <w:pBdr/>
        <w:spacing/>
        <w:ind/>
        <w:jc w:val="both"/>
        <w:rPr>
          <w:b/>
          <w:bCs/>
        </w:rPr>
      </w:pPr>
      <w:r>
        <w:rPr>
          <w:b/>
          <w:bCs/>
        </w:rPr>
      </w:r>
      <w:r>
        <w:rPr>
          <w:b/>
          <w:bCs/>
        </w:rPr>
      </w:r>
    </w:p>
    <w:p>
      <w:pPr>
        <w:pStyle w:val="828"/>
        <w:pBdr/>
        <w:spacing/>
        <w:ind/>
        <w:jc w:val="both"/>
        <w:rPr/>
      </w:pPr>
      <w:r>
        <w:rPr>
          <w:b/>
          <w:bCs/>
        </w:rPr>
        <w:t xml:space="preserve">7.1. Recebimento do Objeto:</w:t>
      </w:r>
      <w:r/>
    </w:p>
    <w:p>
      <w:pPr>
        <w:pStyle w:val="828"/>
        <w:pBdr/>
        <w:spacing/>
        <w:ind/>
        <w:jc w:val="both"/>
        <w:rPr/>
      </w:pPr>
      <w:r>
        <w:rPr>
          <w:b/>
          <w:bCs/>
        </w:rPr>
        <w:t xml:space="preserve">7.1.1.</w:t>
      </w:r>
      <w:r>
        <w:t xml:space="preserve"> O(s) bem(ns) será(ão) recebido(s) provisoriamente no prazo de até 05 (cinco) dias úteis, contados da data da entrega, jun</w:t>
      </w:r>
      <w:r>
        <w:t xml:space="preserve">tamente com a nota fiscal (ou instrumento de cobrança equivalente) e a nota de empenho, pelo(a) responsável pelo acompanhamento e fiscalização do contrato, para efeito de posterior verificação de sua conformidade com as especificações constantes no Termo d</w:t>
      </w:r>
      <w:r>
        <w:t xml:space="preserve">e Referência e na proposta.</w:t>
      </w:r>
      <w:r/>
    </w:p>
    <w:p>
      <w:pPr>
        <w:pStyle w:val="828"/>
        <w:pBdr/>
        <w:spacing/>
        <w:ind/>
        <w:jc w:val="both"/>
        <w:rPr/>
      </w:pPr>
      <w:r>
        <w:rPr>
          <w:b/>
          <w:bCs/>
        </w:rPr>
        <w:t xml:space="preserve">7.1.2.</w:t>
      </w:r>
      <w:r>
        <w:t xml:space="preserve"> O(s) bem(ns) poderá(ão) ser rejeitados, no todo ou em pa</w:t>
      </w:r>
      <w:r>
        <w:t xml:space="preserve">rte, quando em desacordo com as especificações constantes neste Termo de Referência e na proposta, devendo ser substituídos no prazo de 05 (cinco) dias úteis, a contar da notificação da contratada, às suas custas, sem prejuízo da aplicação das penalidades.</w:t>
      </w:r>
      <w:r/>
    </w:p>
    <w:p>
      <w:pPr>
        <w:pStyle w:val="828"/>
        <w:pBdr/>
        <w:spacing/>
        <w:ind/>
        <w:jc w:val="both"/>
        <w:rPr/>
      </w:pPr>
      <w:r>
        <w:rPr>
          <w:b/>
          <w:bCs/>
        </w:rPr>
        <w:t xml:space="preserve">7.1.3. </w:t>
      </w:r>
      <w:r>
        <w:t xml:space="preserve">O recebimento definitivo ocorrerá no prazo de 05 (cinco) dias úteis, a contar do recebimento da nota fiscal ou instrumento de cobrança equivalente pela Admin</w:t>
      </w:r>
      <w:r>
        <w:t xml:space="preserve">istração, após a verificação da qualidade e quantidade do(s) bem(ns) e consequente aceitação mediante recibo aposto na Nota Fiscal respectiva e termo detalhado que comprove o atendimento das exigências contratuais.</w:t>
      </w:r>
      <w:r/>
    </w:p>
    <w:p>
      <w:pPr>
        <w:pStyle w:val="828"/>
        <w:pBdr/>
        <w:spacing/>
        <w:ind/>
        <w:jc w:val="both"/>
        <w:rPr/>
      </w:pPr>
      <w:r>
        <w:rPr>
          <w:b/>
          <w:bCs/>
        </w:rPr>
        <w:t xml:space="preserve">7.1.4. </w:t>
      </w:r>
      <w:r>
        <w:t xml:space="preserve">O prazo para o recebimento definitivo poderá ser excepcionalmente prorrogado, de forma justificada, quando houver necessidade de diligências para a aferição do atendimento das exigências contratuais. </w:t>
      </w:r>
      <w:r/>
    </w:p>
    <w:p>
      <w:pPr>
        <w:pStyle w:val="828"/>
        <w:pBdr/>
        <w:spacing/>
        <w:ind/>
        <w:jc w:val="both"/>
        <w:rPr/>
      </w:pPr>
      <w:r>
        <w:rPr>
          <w:b/>
          <w:bCs/>
        </w:rPr>
        <w:t xml:space="preserve">7.1.5.</w:t>
      </w:r>
      <w:r>
        <w:t xml:space="preserve"> No caso de controvérsia sobre a execução do objeto, quanto à dimensão, qualidade e</w:t>
      </w:r>
      <w:r>
        <w:t xml:space="preserve"> quantidade, deverá ser observado o teor do art. 143 da Lei Federal nº 14.133/2021, comunicando-se à empresa para emissão de Nota Fiscal no que for pertinente à parcela incontroversa da execução do objeto, para efeito de liquidação e pagamento.</w:t>
      </w:r>
      <w:r/>
    </w:p>
    <w:p>
      <w:pPr>
        <w:pStyle w:val="828"/>
        <w:pBdr/>
        <w:spacing/>
        <w:ind/>
        <w:jc w:val="both"/>
        <w:rPr/>
      </w:pPr>
      <w:r>
        <w:rPr>
          <w:b/>
          <w:bCs/>
        </w:rPr>
        <w:t xml:space="preserve">7.1.6.</w:t>
      </w:r>
      <w:r>
        <w:t xml:space="preserve"> O pr</w:t>
      </w:r>
      <w:r>
        <w:t xml:space="preserve">azo para a solução, pelo contratado, de inconsistências na execução do objeto ou de saneamento da nota fiscal ou de instrumento de cobrança equivalente, verificadas pela Administração durante a análise prévia à liquidação de despesa, não será computado par</w:t>
      </w:r>
      <w:r>
        <w:t xml:space="preserve">a os fins do recebimento definitivo. </w:t>
      </w:r>
      <w:r/>
    </w:p>
    <w:p>
      <w:pPr>
        <w:pStyle w:val="828"/>
        <w:pBdr/>
        <w:spacing/>
        <w:ind/>
        <w:jc w:val="both"/>
        <w:rPr>
          <w:b/>
          <w:bCs/>
        </w:rPr>
      </w:pPr>
      <w:r>
        <w:rPr>
          <w:b/>
          <w:bCs/>
        </w:rPr>
        <w:t xml:space="preserve">7.2. Dos Critérios de Medição</w:t>
      </w:r>
      <w:r>
        <w:rPr>
          <w:b/>
          <w:bCs/>
        </w:rPr>
      </w:r>
    </w:p>
    <w:p>
      <w:pPr>
        <w:pStyle w:val="828"/>
        <w:pBdr/>
        <w:spacing/>
        <w:ind/>
        <w:jc w:val="both"/>
        <w:rPr/>
      </w:pPr>
      <w:r>
        <w:rPr>
          <w:b/>
          <w:bCs/>
        </w:rPr>
        <w:t xml:space="preserve">7.2.1. </w:t>
      </w:r>
      <w:r>
        <w:t xml:space="preserve">Para fins d</w:t>
      </w:r>
      <w:r>
        <w:t xml:space="preserve">esta contratação, considera-se medição o procedimento administrativo destinado a atestar a conformidade dos bens entregues com as especificações técnicas, quantitativas e qualitativas previstas no Edital, neste Termo de Referência e na proposta vencedora. </w:t>
      </w:r>
      <w:r/>
    </w:p>
    <w:p>
      <w:pPr>
        <w:pStyle w:val="828"/>
        <w:pBdr/>
        <w:spacing/>
        <w:ind/>
        <w:jc w:val="both"/>
        <w:rPr/>
      </w:pPr>
      <w:r>
        <w:rPr>
          <w:b/>
          <w:bCs/>
        </w:rPr>
        <w:t xml:space="preserve">7.2.2.</w:t>
      </w:r>
      <w:r>
        <w:t xml:space="preserve"> A medição será realizada pelo fiscal do contrato ou servidor designado, após a entrega dos bens, mediante conferência física e técnica, compreendendo: </w:t>
      </w:r>
      <w:r/>
    </w:p>
    <w:p>
      <w:pPr>
        <w:pStyle w:val="828"/>
        <w:pBdr/>
        <w:spacing/>
        <w:ind/>
        <w:jc w:val="both"/>
        <w:rPr/>
      </w:pPr>
      <w:r>
        <w:rPr>
          <w:b/>
          <w:bCs/>
        </w:rPr>
        <w:t xml:space="preserve">a)</w:t>
      </w:r>
      <w:r>
        <w:t xml:space="preserve"> Verific</w:t>
      </w:r>
      <w:r>
        <w:t xml:space="preserve">ação da quantidade entregue, conforme Ordem de Fornecimento; </w:t>
      </w:r>
      <w:r/>
    </w:p>
    <w:p>
      <w:pPr>
        <w:pStyle w:val="828"/>
        <w:pBdr/>
        <w:spacing/>
        <w:ind/>
        <w:jc w:val="both"/>
        <w:rPr/>
      </w:pPr>
      <w:r>
        <w:rPr>
          <w:b/>
          <w:bCs/>
        </w:rPr>
        <w:t xml:space="preserve">b)</w:t>
      </w:r>
      <w:r>
        <w:t xml:space="preserve"> Conferência da marca e modelo ofertados; </w:t>
      </w:r>
      <w:r/>
    </w:p>
    <w:p>
      <w:pPr>
        <w:pStyle w:val="828"/>
        <w:pBdr/>
        <w:spacing/>
        <w:ind/>
        <w:jc w:val="both"/>
        <w:rPr/>
      </w:pPr>
      <w:r>
        <w:rPr>
          <w:b/>
          <w:bCs/>
        </w:rPr>
        <w:t xml:space="preserve">c)</w:t>
      </w:r>
      <w:r>
        <w:t xml:space="preserve"> Análise da integridade física dos itens; </w:t>
      </w:r>
      <w:r/>
    </w:p>
    <w:p>
      <w:pPr>
        <w:pStyle w:val="828"/>
        <w:pBdr/>
        <w:spacing/>
        <w:ind/>
        <w:jc w:val="both"/>
        <w:rPr/>
      </w:pPr>
      <w:r>
        <w:rPr>
          <w:b/>
          <w:bCs/>
        </w:rPr>
        <w:t xml:space="preserve">d)</w:t>
      </w:r>
      <w:r>
        <w:t xml:space="preserve"> Verificação das especificações técnicas exigidas; </w:t>
      </w:r>
      <w:r/>
    </w:p>
    <w:p>
      <w:pPr>
        <w:pStyle w:val="828"/>
        <w:pBdr/>
        <w:spacing/>
        <w:ind/>
        <w:jc w:val="both"/>
        <w:rPr/>
      </w:pPr>
      <w:r>
        <w:rPr>
          <w:b/>
          <w:bCs/>
        </w:rPr>
        <w:t xml:space="preserve">e)</w:t>
      </w:r>
      <w:r>
        <w:t xml:space="preserve"> Teste de funcionalidade e desempenho, quando se tratar de equipamentos e máquinas; </w:t>
      </w:r>
      <w:r/>
    </w:p>
    <w:p>
      <w:pPr>
        <w:pStyle w:val="828"/>
        <w:pBdr/>
        <w:spacing/>
        <w:ind/>
        <w:jc w:val="both"/>
        <w:rPr/>
      </w:pPr>
      <w:r>
        <w:rPr>
          <w:b/>
          <w:bCs/>
        </w:rPr>
        <w:t xml:space="preserve">f)</w:t>
      </w:r>
      <w:r>
        <w:t xml:space="preserve"> Conferência da documentação exigida, como manuais e certificados de garantia. </w:t>
      </w:r>
      <w:r/>
    </w:p>
    <w:p>
      <w:pPr>
        <w:pStyle w:val="828"/>
        <w:pBdr/>
        <w:spacing/>
        <w:ind/>
        <w:jc w:val="both"/>
        <w:rPr>
          <w:b/>
          <w:bCs/>
        </w:rPr>
      </w:pPr>
      <w:r>
        <w:rPr>
          <w:b/>
          <w:bCs/>
        </w:rPr>
        <w:t xml:space="preserve">7.2.3. A medição observará a unidade de fornecimento definida para cada item na planilha do objeto, conforme segue:</w:t>
      </w:r>
      <w:r>
        <w:rPr>
          <w:b/>
          <w:bCs/>
        </w:rPr>
      </w:r>
    </w:p>
    <w:p>
      <w:pPr>
        <w:pStyle w:val="828"/>
        <w:pBdr/>
        <w:spacing/>
        <w:ind/>
        <w:jc w:val="both"/>
        <w:rPr/>
      </w:pPr>
      <w:r>
        <w:rPr>
          <w:b/>
          <w:bCs/>
        </w:rPr>
        <w:t xml:space="preserve">a)</w:t>
      </w:r>
      <w:r>
        <w:t xml:space="preserve"> Por unidade (un): </w:t>
      </w:r>
      <w:r>
        <w:t xml:space="preserve">equipamentos e máquinas (ex.: coladeira de borda, coletor de pó, compressor de ar, esquadrejadeira, furadeiras, serras, plaina elétrica e similares); </w:t>
      </w:r>
      <w:r/>
    </w:p>
    <w:p>
      <w:pPr>
        <w:pStyle w:val="828"/>
        <w:pBdr/>
        <w:spacing/>
        <w:ind/>
        <w:jc w:val="both"/>
        <w:rPr/>
      </w:pPr>
      <w:r>
        <w:rPr>
          <w:b/>
          <w:bCs/>
        </w:rPr>
        <w:t xml:space="preserve">b)</w:t>
      </w:r>
      <w:r>
        <w:t xml:space="preserve"> Por kit ou unidade individual: ferramentas manuais e elétricas fornecidas em conjunto ou individualmente; </w:t>
      </w:r>
      <w:r/>
    </w:p>
    <w:p>
      <w:pPr>
        <w:pStyle w:val="828"/>
        <w:pBdr/>
        <w:spacing/>
        <w:ind/>
        <w:jc w:val="both"/>
        <w:rPr/>
      </w:pPr>
      <w:r>
        <w:rPr>
          <w:b/>
          <w:bCs/>
        </w:rPr>
        <w:t xml:space="preserve">c) </w:t>
      </w:r>
      <w:r>
        <w:t xml:space="preserve">Por chapa/unidade individual: placas de MDF e chapas de compensado, considerando cada placa entregue nas dimensões especificadas; </w:t>
      </w:r>
      <w:r/>
    </w:p>
    <w:p>
      <w:pPr>
        <w:pStyle w:val="828"/>
        <w:pBdr/>
        <w:spacing/>
        <w:ind/>
        <w:jc w:val="both"/>
        <w:rPr/>
      </w:pPr>
      <w:r>
        <w:rPr>
          <w:b/>
          <w:bCs/>
        </w:rPr>
        <w:t xml:space="preserve">d)</w:t>
      </w:r>
      <w:r>
        <w:t xml:space="preserve"> Por rolo/unidade: fitas de borda e materiais fornecidos em rolos; </w:t>
      </w:r>
      <w:r/>
    </w:p>
    <w:p>
      <w:pPr>
        <w:pStyle w:val="828"/>
        <w:pBdr/>
        <w:spacing/>
        <w:ind/>
        <w:jc w:val="both"/>
        <w:rPr/>
      </w:pPr>
      <w:r>
        <w:rPr>
          <w:b/>
          <w:bCs/>
        </w:rPr>
        <w:t xml:space="preserve">e)</w:t>
      </w:r>
      <w:r>
        <w:t xml:space="preserve"> Por embalagem/unidade comercializada: parafu</w:t>
      </w:r>
      <w:r>
        <w:t xml:space="preserve">sos, colas, cantoneiras, fechaduras, corrediças e demais insumos fornecidos conforme embalagem descrita no item. </w:t>
      </w:r>
      <w:r/>
    </w:p>
    <w:p>
      <w:pPr>
        <w:pStyle w:val="828"/>
        <w:pBdr/>
        <w:spacing/>
        <w:ind/>
        <w:jc w:val="both"/>
        <w:rPr>
          <w:b/>
          <w:bCs/>
        </w:rPr>
      </w:pPr>
      <w:r>
        <w:rPr>
          <w:b/>
          <w:bCs/>
        </w:rPr>
        <w:t xml:space="preserve">7.2.4. A medição será formalizada mediante: </w:t>
      </w:r>
      <w:r>
        <w:rPr>
          <w:b/>
          <w:bCs/>
        </w:rPr>
      </w:r>
    </w:p>
    <w:p>
      <w:pPr>
        <w:pStyle w:val="828"/>
        <w:pBdr/>
        <w:spacing/>
        <w:ind/>
        <w:jc w:val="both"/>
        <w:rPr/>
      </w:pPr>
      <w:r>
        <w:rPr>
          <w:b/>
          <w:bCs/>
        </w:rPr>
        <w:t xml:space="preserve">a)</w:t>
      </w:r>
      <w:r>
        <w:t xml:space="preserve"> Atesto da Nota Fiscal pelo fiscal do contrato; </w:t>
      </w:r>
      <w:r/>
    </w:p>
    <w:p>
      <w:pPr>
        <w:pStyle w:val="828"/>
        <w:pBdr/>
        <w:spacing/>
        <w:ind/>
        <w:jc w:val="both"/>
        <w:rPr/>
      </w:pPr>
      <w:r>
        <w:rPr>
          <w:b/>
          <w:bCs/>
        </w:rPr>
        <w:t xml:space="preserve">b) </w:t>
      </w:r>
      <w:r>
        <w:t xml:space="preserve">Registro de recebimento definitivo; </w:t>
      </w:r>
      <w:r/>
    </w:p>
    <w:p>
      <w:pPr>
        <w:pStyle w:val="828"/>
        <w:pBdr/>
        <w:spacing/>
        <w:ind/>
        <w:jc w:val="both"/>
        <w:rPr/>
      </w:pPr>
      <w:r>
        <w:rPr>
          <w:b/>
          <w:bCs/>
        </w:rPr>
        <w:t xml:space="preserve">c)</w:t>
      </w:r>
      <w:r>
        <w:t xml:space="preserve"> Relatório de recebimento técnico, quando necessário, especialmente para equipamentos que exijam verificação de funcionamento. </w:t>
      </w:r>
      <w:r/>
    </w:p>
    <w:p>
      <w:pPr>
        <w:pStyle w:val="828"/>
        <w:pBdr/>
        <w:spacing/>
        <w:ind/>
        <w:jc w:val="both"/>
        <w:rPr>
          <w:b/>
          <w:bCs/>
        </w:rPr>
      </w:pPr>
      <w:r>
        <w:rPr>
          <w:b/>
          <w:bCs/>
        </w:rPr>
        <w:t xml:space="preserve">7.2.5. Os itens entregues em desacordo com o Edital, com marca ou modelo divergente do ofertado, com avarias, defeitos, quantidade i</w:t>
      </w:r>
      <w:r>
        <w:rPr>
          <w:b/>
          <w:bCs/>
        </w:rPr>
        <w:t xml:space="preserve">nferior ou especificações incompatíveis: </w:t>
      </w:r>
      <w:r>
        <w:rPr>
          <w:b/>
          <w:bCs/>
        </w:rPr>
      </w:r>
    </w:p>
    <w:p>
      <w:pPr>
        <w:pStyle w:val="828"/>
        <w:pBdr/>
        <w:spacing/>
        <w:ind/>
        <w:jc w:val="both"/>
        <w:rPr/>
      </w:pPr>
      <w:r>
        <w:rPr>
          <w:b/>
          <w:bCs/>
        </w:rPr>
        <w:t xml:space="preserve">a)</w:t>
      </w:r>
      <w:r>
        <w:t xml:space="preserve"> Não serão medidos; </w:t>
      </w:r>
      <w:r/>
    </w:p>
    <w:p>
      <w:pPr>
        <w:pStyle w:val="828"/>
        <w:pBdr/>
        <w:spacing/>
        <w:ind/>
        <w:jc w:val="both"/>
        <w:rPr/>
      </w:pPr>
      <w:r>
        <w:rPr>
          <w:b/>
          <w:bCs/>
        </w:rPr>
        <w:t xml:space="preserve">b)</w:t>
      </w:r>
      <w:r>
        <w:t xml:space="preserve"> Não serão atestados; </w:t>
      </w:r>
      <w:r/>
    </w:p>
    <w:p>
      <w:pPr>
        <w:pStyle w:val="828"/>
        <w:pBdr/>
        <w:spacing/>
        <w:ind/>
        <w:jc w:val="both"/>
        <w:rPr/>
      </w:pPr>
      <w:r>
        <w:rPr>
          <w:b/>
          <w:bCs/>
        </w:rPr>
        <w:t xml:space="preserve">c) </w:t>
      </w:r>
      <w:r>
        <w:t xml:space="preserve">Não serão liquidados; </w:t>
      </w:r>
      <w:r/>
    </w:p>
    <w:p>
      <w:pPr>
        <w:pStyle w:val="828"/>
        <w:pBdr/>
        <w:spacing/>
        <w:ind/>
        <w:jc w:val="both"/>
        <w:rPr/>
      </w:pPr>
      <w:r>
        <w:rPr>
          <w:b/>
          <w:bCs/>
        </w:rPr>
        <w:t xml:space="preserve">d) </w:t>
      </w:r>
      <w:r>
        <w:t xml:space="preserve">Não gerarão obrigação de pagamento até sua substituição regular. </w:t>
      </w:r>
      <w:r/>
    </w:p>
    <w:p>
      <w:pPr>
        <w:pStyle w:val="828"/>
        <w:pBdr/>
        <w:spacing/>
        <w:ind/>
        <w:jc w:val="both"/>
        <w:rPr/>
      </w:pPr>
      <w:r>
        <w:rPr>
          <w:b/>
          <w:bCs/>
        </w:rPr>
        <w:t xml:space="preserve">7.2.6. </w:t>
      </w:r>
      <w:r>
        <w:t xml:space="preserve">O pagamento somente será devido em relação aos itens efetivamente medidos e atestados como conformes.</w:t>
      </w:r>
      <w:r/>
    </w:p>
    <w:p>
      <w:pPr>
        <w:pStyle w:val="828"/>
        <w:pBdr/>
        <w:spacing/>
        <w:ind/>
        <w:jc w:val="both"/>
        <w:rPr/>
      </w:pPr>
      <w:r>
        <w:rPr>
          <w:b/>
          <w:bCs/>
        </w:rPr>
        <w:t xml:space="preserve">7.3. Prazo de pagamento </w:t>
      </w:r>
      <w:r/>
    </w:p>
    <w:p>
      <w:pPr>
        <w:pStyle w:val="828"/>
        <w:pBdr/>
        <w:spacing/>
        <w:ind/>
        <w:jc w:val="both"/>
        <w:rPr/>
      </w:pPr>
      <w:r>
        <w:rPr>
          <w:b/>
          <w:bCs/>
        </w:rPr>
        <w:t xml:space="preserve">7.3.1. </w:t>
      </w:r>
      <w:r>
        <w:t xml:space="preserve">O prazo para liquidação será de 30 (trinta) dias úteis, contados da apresentação da nota fiscal devidamente atestada.</w:t>
      </w:r>
      <w:r/>
    </w:p>
    <w:p>
      <w:pPr>
        <w:pStyle w:val="828"/>
        <w:pBdr/>
        <w:spacing/>
        <w:ind/>
        <w:jc w:val="both"/>
        <w:rPr/>
      </w:pPr>
      <w:r>
        <w:rPr>
          <w:b/>
          <w:bCs/>
        </w:rPr>
        <w:t xml:space="preserve">7.3.2. O pagamento será efetuado em até 30 (trinta) dias as contados</w:t>
      </w:r>
      <w:r>
        <w:rPr>
          <w:b/>
          <w:bCs/>
        </w:rPr>
        <w:t xml:space="preserve"> do adimplemento, pela Prefeitura Municipal de Rondonópolis/MT.</w:t>
      </w:r>
      <w:r/>
    </w:p>
    <w:p>
      <w:pPr>
        <w:pStyle w:val="828"/>
        <w:pBdr/>
        <w:spacing/>
        <w:ind/>
        <w:jc w:val="both"/>
        <w:rPr/>
      </w:pPr>
      <w:r>
        <w:rPr>
          <w:b/>
          <w:bCs/>
        </w:rPr>
        <w:t xml:space="preserve">7.3.3.</w:t>
      </w:r>
      <w:r>
        <w:t xml:space="preserve"> Os documentos fiscais deverão, obrigatoriamente, discriminar a marca, modelo (se houver) e o quantitativo efetivamente entregue. </w:t>
      </w:r>
      <w:r/>
    </w:p>
    <w:p>
      <w:pPr>
        <w:pStyle w:val="828"/>
        <w:pBdr/>
        <w:spacing/>
        <w:ind/>
        <w:jc w:val="both"/>
        <w:rPr/>
      </w:pPr>
      <w:r>
        <w:rPr>
          <w:b/>
          <w:bCs/>
        </w:rPr>
        <w:t xml:space="preserve">7.3.4. </w:t>
      </w:r>
      <w:r>
        <w:t xml:space="preserve">A Contratada deverá emitir a Nota Fiscal/Fatura conforme legislação vigente.</w:t>
      </w:r>
      <w:r/>
    </w:p>
    <w:p>
      <w:pPr>
        <w:pStyle w:val="828"/>
        <w:pBdr/>
        <w:spacing/>
        <w:ind/>
        <w:jc w:val="both"/>
        <w:rPr/>
      </w:pPr>
      <w:r>
        <w:rPr>
          <w:b/>
          <w:bCs/>
        </w:rPr>
        <w:t xml:space="preserve">7.3.5. </w:t>
      </w:r>
      <w:r>
        <w:t xml:space="preserve">Havendo irregularidades na emissão da nota fiscal/fatura, o prazo para pagamento será contado a partir de sua representação devidamente regularizada.</w:t>
      </w:r>
      <w:r/>
    </w:p>
    <w:p>
      <w:pPr>
        <w:pStyle w:val="828"/>
        <w:pBdr/>
        <w:spacing/>
        <w:ind/>
        <w:jc w:val="both"/>
        <w:rPr/>
      </w:pPr>
      <w:r>
        <w:rPr>
          <w:b/>
          <w:bCs/>
        </w:rPr>
        <w:t xml:space="preserve">7.4. Forma de pagamento</w:t>
      </w:r>
      <w:r/>
    </w:p>
    <w:p>
      <w:pPr>
        <w:pStyle w:val="828"/>
        <w:pBdr/>
        <w:spacing/>
        <w:ind/>
        <w:jc w:val="both"/>
        <w:rPr/>
      </w:pPr>
      <w:r>
        <w:rPr>
          <w:b/>
          <w:bCs/>
        </w:rPr>
        <w:t xml:space="preserve">7.4.1. </w:t>
      </w:r>
      <w:r>
        <w:t xml:space="preserve">O pagamento será processado com a emiss</w:t>
      </w:r>
      <w:r>
        <w:t xml:space="preserve">ão de ordem de pagamento física ou eletrônica, ou ainda por transferência eletrônica via sistema de internet banking, com assinaturas legais físicas ou eletrônicas dos titulares das contas bancárias.</w:t>
      </w:r>
      <w:r/>
    </w:p>
    <w:p>
      <w:pPr>
        <w:pStyle w:val="828"/>
        <w:pBdr/>
        <w:spacing/>
        <w:ind/>
        <w:jc w:val="both"/>
        <w:rPr/>
      </w:pPr>
      <w:r>
        <w:rPr>
          <w:b/>
          <w:bCs/>
        </w:rPr>
        <w:t xml:space="preserve">7.4.2. </w:t>
      </w:r>
      <w:r>
        <w:t xml:space="preserve">A retenção do imposto de renda deverá ser destacada no corpo do documento fiscal ou equivalente observando os percentuais estabelecidos na Legislação Vigente.</w:t>
      </w:r>
      <w:r/>
    </w:p>
    <w:p>
      <w:pPr>
        <w:pStyle w:val="828"/>
        <w:pBdr/>
        <w:spacing/>
        <w:ind/>
        <w:jc w:val="both"/>
        <w:rPr/>
      </w:pPr>
      <w:r>
        <w:rPr>
          <w:b/>
          <w:bCs/>
        </w:rPr>
        <w:t xml:space="preserve">7.4.3.</w:t>
      </w:r>
      <w:r>
        <w:t xml:space="preserve"> As empresas optantes pelo Simples Nacional ou que se enquadrem em alguma hipótese de isenção ou não incidência DEVERÃO informar essa condiç</w:t>
      </w:r>
      <w:r>
        <w:t xml:space="preserve">ão expressamente nos documentos fiscais, de acordo com a Legislação Vigente.</w:t>
      </w:r>
      <w:r/>
    </w:p>
    <w:p>
      <w:pPr>
        <w:pStyle w:val="828"/>
        <w:pBdr/>
        <w:spacing/>
        <w:ind/>
        <w:jc w:val="both"/>
        <w:rPr/>
      </w:pPr>
      <w:r/>
      <w:r/>
    </w:p>
    <w:p>
      <w:pPr>
        <w:pStyle w:val="828"/>
        <w:pBdr/>
        <w:shd w:val="clear" w:color="auto" w:fill="cccccc"/>
        <w:spacing/>
        <w:ind/>
        <w:jc w:val="both"/>
        <w:rPr/>
      </w:pPr>
      <w:r>
        <w:rPr>
          <w:b/>
          <w:bCs/>
        </w:rPr>
        <w:t xml:space="preserve">8 – FORMA E CRITÉRIOS DE SELEÇÃO DO FORNECEDOR</w:t>
      </w:r>
      <w:r/>
    </w:p>
    <w:p>
      <w:pPr>
        <w:pStyle w:val="828"/>
        <w:pBdr/>
        <w:spacing/>
        <w:ind/>
        <w:jc w:val="both"/>
        <w:rPr/>
      </w:pPr>
      <w:r/>
      <w:r/>
    </w:p>
    <w:p>
      <w:pPr>
        <w:pStyle w:val="828"/>
        <w:pBdr/>
        <w:spacing/>
        <w:ind/>
        <w:jc w:val="both"/>
        <w:rPr/>
      </w:pPr>
      <w:r>
        <w:rPr>
          <w:b/>
          <w:bCs/>
        </w:rPr>
        <w:t xml:space="preserve">8.1. Forma de seleção e critério de julgamento da proposta</w:t>
      </w:r>
      <w:r/>
    </w:p>
    <w:p>
      <w:pPr>
        <w:pStyle w:val="828"/>
        <w:pBdr/>
        <w:spacing/>
        <w:ind/>
        <w:jc w:val="both"/>
        <w:rPr/>
      </w:pPr>
      <w:r>
        <w:rPr>
          <w:b/>
          <w:bCs/>
        </w:rPr>
        <w:t xml:space="preserve">8.1.1. </w:t>
      </w:r>
      <w:r>
        <w:t xml:space="preserve">A seleção do fornecedor será realizada por meio de procedimento </w:t>
      </w:r>
      <w:r>
        <w:t xml:space="preserve">licitatório na modalidade Pregão Eletrônico, com utilização do Sistema de Registro de Preços, em conformidade com a Lei Federal nº 14.133/2021. O critério de julgamento adotado será o de menor preço por item, considerando as especificações técnicas e quant</w:t>
      </w:r>
      <w:r>
        <w:t xml:space="preserve">itativos estabelecidos neste Termo de Referência, garantindo a economicidade, eficiência e atendimento adequado às demandas da Administração para aquisição de equipamentos, ferramentas e materiais diversos para Marcenaria.</w:t>
      </w:r>
      <w:r/>
    </w:p>
    <w:p>
      <w:pPr>
        <w:pStyle w:val="828"/>
        <w:pBdr/>
        <w:spacing/>
        <w:ind/>
        <w:jc w:val="both"/>
        <w:rPr/>
      </w:pPr>
      <w:r>
        <w:rPr>
          <w:b/>
          <w:bCs/>
        </w:rPr>
        <w:t xml:space="preserve">8.2. Exigências de habilitação para fins de habilitação, deverá o licitante comprovar os seguintes requisitos:</w:t>
      </w:r>
      <w:r/>
    </w:p>
    <w:p>
      <w:pPr>
        <w:pStyle w:val="828"/>
        <w:pBdr/>
        <w:spacing/>
        <w:ind/>
        <w:jc w:val="both"/>
        <w:rPr/>
      </w:pPr>
      <w:r>
        <w:rPr>
          <w:b/>
          <w:bCs/>
        </w:rPr>
        <w:t xml:space="preserve">8.2.1. </w:t>
      </w:r>
      <w:r>
        <w:t xml:space="preserve">Habilitação jurídica</w:t>
      </w:r>
      <w:r/>
    </w:p>
    <w:p>
      <w:pPr>
        <w:pStyle w:val="828"/>
        <w:pBdr/>
        <w:spacing/>
        <w:ind/>
        <w:jc w:val="both"/>
        <w:rPr/>
      </w:pPr>
      <w:r>
        <w:rPr>
          <w:b/>
          <w:bCs/>
        </w:rPr>
        <w:t xml:space="preserve">a) </w:t>
      </w:r>
      <w:r>
        <w:t xml:space="preserve">Pessoa física: cédula de identidade (RG) ou documento equivalente que, por força de lei, tenha validade para fins de identificação em todo o territ</w:t>
      </w:r>
      <w:r>
        <w:t xml:space="preserve">ório nacional;</w:t>
      </w:r>
      <w:r/>
    </w:p>
    <w:p>
      <w:pPr>
        <w:pStyle w:val="828"/>
        <w:pBdr/>
        <w:spacing/>
        <w:ind/>
        <w:jc w:val="both"/>
        <w:rPr/>
      </w:pPr>
      <w:r>
        <w:rPr>
          <w:b/>
          <w:bCs/>
        </w:rPr>
        <w:t xml:space="preserve">b) </w:t>
      </w:r>
      <w:r>
        <w:t xml:space="preserve">Empresário individual: inscrição no Registro Público de Empresas Mercantis, a cargo da Junta Comercial da respectiva sede; </w:t>
      </w:r>
      <w:r/>
    </w:p>
    <w:p>
      <w:pPr>
        <w:pStyle w:val="828"/>
        <w:pBdr/>
        <w:spacing/>
        <w:ind/>
        <w:jc w:val="both"/>
        <w:rPr/>
      </w:pPr>
      <w:r>
        <w:rPr>
          <w:b/>
          <w:bCs/>
        </w:rPr>
        <w:t xml:space="preserve">c) </w:t>
      </w:r>
      <w:r>
        <w:t xml:space="preserve">Microempreendedor Individual - MEI: Certificado da Condição de Microempreendedor Individual - CCMEI, cuja</w:t>
      </w:r>
      <w:r/>
    </w:p>
    <w:p>
      <w:pPr>
        <w:pStyle w:val="828"/>
        <w:pBdr/>
        <w:spacing/>
        <w:ind/>
        <w:jc w:val="both"/>
        <w:rPr/>
      </w:pPr>
      <w:r>
        <w:t xml:space="preserve">aceitação ficará condicionada à verificação da autenticidade no sítio https://www.gov.br/empresas-e-negocios/pt-br/empreendedor; </w:t>
      </w:r>
      <w:r/>
    </w:p>
    <w:p>
      <w:pPr>
        <w:pStyle w:val="828"/>
        <w:pBdr/>
        <w:spacing/>
        <w:ind/>
        <w:jc w:val="both"/>
        <w:rPr/>
      </w:pPr>
      <w:r>
        <w:rPr>
          <w:b/>
          <w:bCs/>
        </w:rPr>
        <w:t xml:space="preserve">d)</w:t>
      </w:r>
      <w:r>
        <w:t xml:space="preserve"> Sociedade empresária, sociedade limitada unipessoal – SLU ou sociedade identificada como empresa individual de responsabilidade </w:t>
      </w:r>
      <w:r>
        <w:t xml:space="preserve">limitada - EIRELI: inscrição do ato constitutivo, estatuto ou contrato social no Registro Público de Empresas Mercantis, a cargo da Junta Comercial da respectiva sede, acompanhada de documento comprobatório de seus administradores;</w:t>
      </w:r>
      <w:r/>
    </w:p>
    <w:p>
      <w:pPr>
        <w:pStyle w:val="828"/>
        <w:pBdr/>
        <w:spacing/>
        <w:ind/>
        <w:jc w:val="both"/>
        <w:rPr/>
      </w:pPr>
      <w:r>
        <w:rPr>
          <w:b/>
          <w:bCs/>
        </w:rPr>
        <w:t xml:space="preserve">e)</w:t>
      </w:r>
      <w:r>
        <w:t xml:space="preserve"> Sociedade empresária </w:t>
      </w:r>
      <w:r>
        <w:t xml:space="preserve">estrangeira: portaria de autorização de funcionamento no Brasil, publicada no Diário Oficial da União e arquivada na Junta Comercial da unidade federativa onde se localizar a filial, agência, sucursal ou estabelecimento, a qual será considerada como sua se</w:t>
      </w:r>
      <w:r>
        <w:t xml:space="preserve">de, conforme Instrução Normativa DREI/ME n.º 88/2022.</w:t>
      </w:r>
      <w:r/>
    </w:p>
    <w:p>
      <w:pPr>
        <w:pStyle w:val="828"/>
        <w:pBdr/>
        <w:spacing/>
        <w:ind/>
        <w:jc w:val="both"/>
        <w:rPr/>
      </w:pPr>
      <w:r>
        <w:rPr>
          <w:b/>
          <w:bCs/>
        </w:rPr>
        <w:t xml:space="preserve">f)</w:t>
      </w:r>
      <w:r>
        <w:t xml:space="preserve"> Sociedade simples: inscrição do ato constitutivo no Registro Civil de Pessoas Jurídicas do local de sua sede, acompanhada de documento comprobatório de seus administradores;</w:t>
      </w:r>
      <w:r/>
    </w:p>
    <w:p>
      <w:pPr>
        <w:pStyle w:val="828"/>
        <w:pBdr/>
        <w:spacing/>
        <w:ind/>
        <w:jc w:val="both"/>
        <w:rPr/>
      </w:pPr>
      <w:r>
        <w:rPr>
          <w:b/>
          <w:bCs/>
        </w:rPr>
        <w:t xml:space="preserve">g)</w:t>
      </w:r>
      <w:r>
        <w:t xml:space="preserve"> Filial, sucursal ou ag</w:t>
      </w:r>
      <w:r>
        <w:t xml:space="preserve">ência de sociedade simples ou empresária: inscrição do ato constitutivo da filial, sucursal ou agência da sociedade simples ou empresária, respectivamente, no Registro Civil das Pessoas Jurídicas ou no Registro Público de Empresas Mercantis onde opera, com</w:t>
      </w:r>
      <w:r>
        <w:t xml:space="preserve"> averbação no Registro onde tem sede a matriz</w:t>
      </w:r>
      <w:r/>
    </w:p>
    <w:p>
      <w:pPr>
        <w:pStyle w:val="828"/>
        <w:pBdr/>
        <w:spacing/>
        <w:ind/>
        <w:jc w:val="both"/>
        <w:rPr/>
      </w:pPr>
      <w:r>
        <w:rPr>
          <w:b/>
          <w:bCs/>
        </w:rPr>
        <w:t xml:space="preserve">h)</w:t>
      </w:r>
      <w:r>
        <w:t xml:space="preserve"> Sociedade cooperativa: ata de funda</w:t>
      </w:r>
      <w:r>
        <w:t xml:space="preserve">ção e estatuto social, com a ata da assembleia que o aprovou, devidamente arquivado na Junta Comercial ou inscrito no Registro Civil das Pessoas Jurídicas da respectiva sede, além do registro de que trata o art. 107 da Lei nº 5.764, de 16 de dezembro 1971.</w:t>
      </w:r>
      <w:r/>
    </w:p>
    <w:p>
      <w:pPr>
        <w:pStyle w:val="828"/>
        <w:pBdr/>
        <w:spacing/>
        <w:ind/>
        <w:jc w:val="both"/>
        <w:rPr/>
      </w:pPr>
      <w:r>
        <w:rPr>
          <w:b/>
          <w:bCs/>
        </w:rPr>
        <w:t xml:space="preserve">i) </w:t>
      </w:r>
      <w:r>
        <w:t xml:space="preserve">Os documentos apresentados deverão estar acompanhados de todas as alterações ou da consolidação respectiva.</w:t>
      </w:r>
      <w:r/>
    </w:p>
    <w:p>
      <w:pPr>
        <w:pStyle w:val="828"/>
        <w:pBdr/>
        <w:spacing/>
        <w:ind/>
        <w:jc w:val="both"/>
        <w:rPr/>
      </w:pPr>
      <w:r>
        <w:rPr>
          <w:b/>
          <w:bCs/>
        </w:rPr>
        <w:t xml:space="preserve">8.2.2. Habilitação fiscal, social e trabalhista</w:t>
      </w:r>
      <w:r/>
    </w:p>
    <w:p>
      <w:pPr>
        <w:pStyle w:val="828"/>
        <w:pBdr/>
        <w:spacing/>
        <w:ind/>
        <w:jc w:val="both"/>
        <w:rPr/>
      </w:pPr>
      <w:r>
        <w:rPr>
          <w:b/>
          <w:bCs/>
        </w:rPr>
        <w:t xml:space="preserve">a)</w:t>
      </w:r>
      <w:r>
        <w:t xml:space="preserve"> Prova de </w:t>
      </w:r>
      <w:r>
        <w:t xml:space="preserve">inscrição no Cadastro Nacional de Pessoa Jurídica (CNPJ), ou no Cadastro de Pessoas Físicas, conforme o caso;</w:t>
      </w:r>
      <w:r/>
    </w:p>
    <w:p>
      <w:pPr>
        <w:pStyle w:val="828"/>
        <w:pBdr/>
        <w:spacing/>
        <w:ind/>
        <w:jc w:val="both"/>
        <w:rPr/>
      </w:pPr>
      <w:r>
        <w:rPr>
          <w:b/>
          <w:bCs/>
        </w:rPr>
        <w:t xml:space="preserve">b) </w:t>
      </w:r>
      <w:r>
        <w:t xml:space="preserve">Prova de inscrição no cadastro de contribuintes estadual e/ou municipal, se houver, relativo ao domicílio ou sede do licitante, pertinente ao seu ramo de atividade e compatível com o objeto contratual; </w:t>
      </w:r>
      <w:r/>
    </w:p>
    <w:p>
      <w:pPr>
        <w:pStyle w:val="828"/>
        <w:pBdr/>
        <w:spacing/>
        <w:ind/>
        <w:jc w:val="both"/>
        <w:rPr/>
      </w:pPr>
      <w:r>
        <w:rPr>
          <w:b/>
          <w:bCs/>
        </w:rPr>
        <w:t xml:space="preserve">c)</w:t>
      </w:r>
      <w:r>
        <w:t xml:space="preserve"> Prova de regularidade para com as Fazendas federal, estadual/distrital e Municipal do domicílio ou sede do licitante, ou outra equivalente, na forma da lei;</w:t>
      </w:r>
      <w:r/>
    </w:p>
    <w:p>
      <w:pPr>
        <w:pStyle w:val="828"/>
        <w:pBdr/>
        <w:spacing/>
        <w:ind/>
        <w:jc w:val="both"/>
        <w:rPr/>
      </w:pPr>
      <w:r>
        <w:rPr>
          <w:b/>
          <w:bCs/>
        </w:rPr>
        <w:t xml:space="preserve">d)</w:t>
      </w:r>
      <w:r>
        <w:t xml:space="preserve"> Prova de regularidade relativa à </w:t>
      </w:r>
      <w:r>
        <w:t xml:space="preserve">Seguridade Social e ao Fundo de Garantia por Tempo de Serviço (FGTS), demonstrando situação regular no cumprimento dos encargos sociais instituídos por lei. </w:t>
      </w:r>
      <w:r/>
    </w:p>
    <w:p>
      <w:pPr>
        <w:pStyle w:val="828"/>
        <w:pBdr/>
        <w:spacing/>
        <w:ind/>
        <w:jc w:val="both"/>
        <w:rPr/>
      </w:pPr>
      <w:r>
        <w:rPr>
          <w:b/>
          <w:bCs/>
        </w:rPr>
        <w:t xml:space="preserve">e)</w:t>
      </w:r>
      <w:r>
        <w:t xml:space="preserve"> Prova de inexistência d</w:t>
      </w:r>
      <w:r>
        <w:t xml:space="preserve">e débitos inadimplidos perante a Justiça do Trabalho, mediante apresentação de certidão negativa ou positiva com efeito de negativa, nos termos do Título VII-A da Consolidação das Leis do Trabalho, aprovada pelo Decreto-Lei no 5.452, de 1o de maio de 1943.</w:t>
      </w:r>
      <w:r/>
    </w:p>
    <w:p>
      <w:pPr>
        <w:pStyle w:val="828"/>
        <w:pBdr/>
        <w:spacing/>
        <w:ind/>
        <w:jc w:val="both"/>
        <w:rPr/>
      </w:pPr>
      <w:r>
        <w:rPr>
          <w:b/>
          <w:bCs/>
        </w:rPr>
        <w:t xml:space="preserve">f) </w:t>
      </w:r>
      <w:r>
        <w:t xml:space="preserve">Declaração expressa de que o licitante não emprega trabalhador menor</w:t>
      </w:r>
      <w:r>
        <w:t xml:space="preserve"> nas situações previstas no inciso XXXIII do art. 7º da Constituição da República.</w:t>
      </w:r>
      <w:r/>
    </w:p>
    <w:p>
      <w:pPr>
        <w:pStyle w:val="828"/>
        <w:pBdr/>
        <w:spacing/>
        <w:ind/>
        <w:jc w:val="both"/>
        <w:rPr/>
      </w:pPr>
      <w:r>
        <w:rPr>
          <w:b/>
          <w:bCs/>
        </w:rPr>
        <w:t xml:space="preserve">g) </w:t>
      </w:r>
      <w:r>
        <w:t xml:space="preserve">Comprovação, quando aplicável, do cumprimento das exigências legais de reserva de cargos destinadas </w:t>
      </w:r>
      <w:r>
        <w:t xml:space="preserve">a pessoas com deficiência ou a beneficiários reabilitados pela Previdência Social, bem como do cumprimento da cota mínima de aprendizes, nos termos da legislação vigente (Lei nº 8.213/1991, Decreto nº 3.298/1999, art. 93 da CLT e demais normas correlatas).</w:t>
      </w:r>
      <w:r/>
    </w:p>
    <w:p>
      <w:pPr>
        <w:pStyle w:val="828"/>
        <w:pBdr/>
        <w:spacing/>
        <w:ind/>
        <w:jc w:val="both"/>
        <w:rPr/>
      </w:pPr>
      <w:r>
        <w:rPr>
          <w:b/>
          <w:bCs/>
        </w:rPr>
        <w:t xml:space="preserve">h)</w:t>
      </w:r>
      <w:r>
        <w:t xml:space="preserve"> Os documentos referidos acima poderão ser substituídos ou supridos</w:t>
      </w:r>
      <w:r>
        <w:t xml:space="preserve">, no todo ou em parte, por outros meios hábeis a comprovar a regularidade do licitante, inclusive por meio eletrônico.</w:t>
      </w:r>
      <w:r/>
    </w:p>
    <w:p>
      <w:pPr>
        <w:pStyle w:val="828"/>
        <w:pBdr/>
        <w:spacing/>
        <w:ind/>
        <w:jc w:val="both"/>
        <w:rPr>
          <w:b/>
          <w:bCs/>
        </w:rPr>
      </w:pPr>
      <w:r>
        <w:rPr>
          <w:b/>
          <w:bCs/>
        </w:rPr>
        <w:t xml:space="preserve">8.2.3. Qualificação Econômico-Financeira </w:t>
      </w:r>
      <w:r>
        <w:rPr>
          <w:b/>
          <w:bCs/>
        </w:rPr>
      </w:r>
    </w:p>
    <w:p>
      <w:pPr>
        <w:pStyle w:val="828"/>
        <w:pBdr/>
        <w:spacing/>
        <w:ind/>
        <w:jc w:val="both"/>
        <w:rPr/>
      </w:pPr>
      <w:r>
        <w:rPr>
          <w:b/>
          <w:bCs/>
        </w:rPr>
        <w:t xml:space="preserve">a)</w:t>
      </w:r>
      <w:r>
        <w:t xml:space="preserve"> Certidão negativa de feitos sobre falência expedida pelo distribuidor da sede do licitante.</w:t>
      </w:r>
      <w:r/>
    </w:p>
    <w:p>
      <w:pPr>
        <w:pStyle w:val="828"/>
        <w:pBdr/>
        <w:spacing/>
        <w:ind/>
        <w:jc w:val="both"/>
        <w:rPr/>
      </w:pPr>
      <w:r>
        <w:rPr>
          <w:b/>
          <w:bCs/>
        </w:rPr>
        <w:t xml:space="preserve">b)</w:t>
      </w:r>
      <w:r>
        <w:t xml:space="preserve"> Na hipótese em que a certidão for positiva, caso a empresa se encontre em recuperação judicial ou extrajudicial, deve o licitante apresentar comprovante da homologação/deferimento, pelo juízo competente, do plano de recuperação em vigor.</w:t>
      </w:r>
      <w:r/>
    </w:p>
    <w:p>
      <w:pPr>
        <w:pStyle w:val="828"/>
        <w:pBdr/>
        <w:spacing/>
        <w:ind/>
        <w:jc w:val="both"/>
        <w:rPr/>
      </w:pPr>
      <w:r>
        <w:rPr>
          <w:b/>
          <w:bCs/>
        </w:rPr>
        <w:t xml:space="preserve">8.3. Dos critér</w:t>
      </w:r>
      <w:r>
        <w:rPr>
          <w:b/>
          <w:bCs/>
        </w:rPr>
        <w:t xml:space="preserve">ios de aceitabilidade da proposta</w:t>
      </w:r>
      <w:r/>
    </w:p>
    <w:p>
      <w:pPr>
        <w:pStyle w:val="828"/>
        <w:pBdr/>
        <w:spacing/>
        <w:ind/>
        <w:jc w:val="both"/>
        <w:rPr/>
      </w:pPr>
      <w:r>
        <w:rPr>
          <w:b/>
          <w:bCs/>
        </w:rPr>
        <w:t xml:space="preserve">8.3.1. </w:t>
      </w:r>
      <w:r>
        <w:t xml:space="preserve">A proposta de preços deverá conter:</w:t>
      </w:r>
      <w:r/>
    </w:p>
    <w:p>
      <w:pPr>
        <w:pStyle w:val="828"/>
        <w:pBdr/>
        <w:spacing/>
        <w:ind/>
        <w:jc w:val="both"/>
        <w:rPr/>
      </w:pPr>
      <w:r>
        <w:rPr>
          <w:b/>
          <w:bCs/>
        </w:rPr>
        <w:t xml:space="preserve">a) </w:t>
      </w:r>
      <w:r>
        <w:t xml:space="preserve">Razão social, n.º do CNPJ, endereço, telefone e endereço eletrônico do licitante;</w:t>
      </w:r>
      <w:r/>
    </w:p>
    <w:p>
      <w:pPr>
        <w:pStyle w:val="828"/>
        <w:pBdr/>
        <w:spacing/>
        <w:ind/>
        <w:jc w:val="both"/>
        <w:rPr/>
      </w:pPr>
      <w:r>
        <w:rPr>
          <w:b/>
          <w:bCs/>
        </w:rPr>
        <w:t xml:space="preserve">b)</w:t>
      </w:r>
      <w:r>
        <w:t xml:space="preserve"> Modalidade e número da licitação;</w:t>
      </w:r>
      <w:r/>
    </w:p>
    <w:p>
      <w:pPr>
        <w:pStyle w:val="828"/>
        <w:pBdr/>
        <w:spacing/>
        <w:ind/>
        <w:jc w:val="both"/>
        <w:rPr/>
      </w:pPr>
      <w:r>
        <w:rPr>
          <w:b/>
          <w:bCs/>
        </w:rPr>
        <w:t xml:space="preserve">c)</w:t>
      </w:r>
      <w:r>
        <w:t xml:space="preserve"> Especificação do objeto licitado, sendo obrigatório constar a marca (quando for o caso);</w:t>
      </w:r>
      <w:r/>
    </w:p>
    <w:p>
      <w:pPr>
        <w:pStyle w:val="828"/>
        <w:pBdr/>
        <w:spacing/>
        <w:ind/>
        <w:jc w:val="both"/>
        <w:rPr/>
      </w:pPr>
      <w:r>
        <w:rPr>
          <w:b/>
          <w:bCs/>
        </w:rPr>
        <w:t xml:space="preserve">d) </w:t>
      </w:r>
      <w:r>
        <w:t xml:space="preserve">No caso da a marca possuir mais de um modelo, o licitante deverá informá-lo.</w:t>
      </w:r>
      <w:r/>
    </w:p>
    <w:p>
      <w:pPr>
        <w:pStyle w:val="828"/>
        <w:pBdr/>
        <w:spacing/>
        <w:ind/>
        <w:jc w:val="both"/>
        <w:rPr/>
      </w:pPr>
      <w:r>
        <w:rPr>
          <w:b/>
          <w:bCs/>
        </w:rPr>
        <w:t xml:space="preserve">e) </w:t>
      </w:r>
      <w:r>
        <w:t xml:space="preserve">Valor total do item, discriminando o respectivo valor unitário;</w:t>
      </w:r>
      <w:r/>
    </w:p>
    <w:p>
      <w:pPr>
        <w:pStyle w:val="828"/>
        <w:pBdr/>
        <w:spacing/>
        <w:ind/>
        <w:jc w:val="both"/>
        <w:rPr/>
      </w:pPr>
      <w:r>
        <w:rPr>
          <w:b/>
          <w:bCs/>
        </w:rPr>
        <w:t xml:space="preserve">f) </w:t>
      </w:r>
      <w:r>
        <w:t xml:space="preserve">O(s) valor(es) unitário(s) e total(is) deve(m) ser apresentado(s) em mo</w:t>
      </w:r>
      <w:r>
        <w:t xml:space="preserve">eda</w:t>
      </w:r>
      <w:r/>
    </w:p>
    <w:p>
      <w:pPr>
        <w:pStyle w:val="828"/>
        <w:pBdr/>
        <w:spacing/>
        <w:ind/>
        <w:jc w:val="both"/>
        <w:rPr/>
      </w:pPr>
      <w:r>
        <w:t xml:space="preserve">corrente nacional e em algarismo com no máximo 02 (duas) casas decimais.</w:t>
      </w:r>
      <w:r/>
    </w:p>
    <w:p>
      <w:pPr>
        <w:pStyle w:val="828"/>
        <w:pBdr/>
        <w:spacing/>
        <w:ind/>
        <w:jc w:val="both"/>
        <w:rPr/>
      </w:pPr>
      <w:r>
        <w:rPr>
          <w:b/>
          <w:bCs/>
        </w:rPr>
        <w:t xml:space="preserve">g)</w:t>
      </w:r>
      <w:r>
        <w:t xml:space="preserve"> O valor global deve ser apresentado em moeda corrente nacional, em algarismo e por extenso, com no máximo 02 (duas) casas decimais.</w:t>
      </w:r>
      <w:r/>
    </w:p>
    <w:p>
      <w:pPr>
        <w:pStyle w:val="828"/>
        <w:pBdr/>
        <w:spacing/>
        <w:ind/>
        <w:jc w:val="both"/>
        <w:rPr/>
      </w:pPr>
      <w:r>
        <w:rPr>
          <w:b/>
          <w:bCs/>
        </w:rPr>
        <w:t xml:space="preserve">h)</w:t>
      </w:r>
      <w:r>
        <w:t xml:space="preserve"> Quando a</w:t>
      </w:r>
      <w:r>
        <w:t xml:space="preserve"> divisão do valor total pelo quantitativo do item resultar em dízimas com mais de 2 (duas) casas decimais, o valor unitário deverá ser adequado ao limite de duas casas, de modo que o valor total do item não ultrapasse o valor final arrematado na licitação.</w:t>
      </w:r>
      <w:r/>
    </w:p>
    <w:p>
      <w:pPr>
        <w:pStyle w:val="828"/>
        <w:pBdr/>
        <w:spacing/>
        <w:ind/>
        <w:jc w:val="both"/>
        <w:rPr/>
      </w:pPr>
      <w:r>
        <w:rPr>
          <w:b/>
          <w:bCs/>
        </w:rPr>
        <w:t xml:space="preserve">i) </w:t>
      </w:r>
      <w:r>
        <w:t xml:space="preserve">Declaração de validade da pro</w:t>
      </w:r>
      <w:r>
        <w:t xml:space="preserve">posta de 120 (cento e vinte) dias, contados da assinatura.</w:t>
      </w:r>
      <w:r/>
    </w:p>
    <w:p>
      <w:pPr>
        <w:pStyle w:val="828"/>
        <w:pBdr/>
        <w:spacing/>
        <w:ind/>
        <w:jc w:val="both"/>
        <w:rPr>
          <w:b/>
          <w:bCs/>
        </w:rPr>
      </w:pPr>
      <w:r>
        <w:rPr>
          <w:b/>
          <w:bCs/>
        </w:rPr>
        <w:t xml:space="preserve">8.4. Tratamento favorecido às microempresas e empresas de pequeno porte locais e regionais</w:t>
      </w:r>
      <w:r>
        <w:rPr>
          <w:b/>
          <w:bCs/>
        </w:rPr>
      </w:r>
    </w:p>
    <w:p>
      <w:pPr>
        <w:pStyle w:val="828"/>
        <w:pBdr/>
        <w:spacing/>
        <w:ind/>
        <w:jc w:val="both"/>
        <w:rPr/>
      </w:pPr>
      <w:r>
        <w:rPr>
          <w:b/>
          <w:bCs/>
        </w:rPr>
        <w:t xml:space="preserve">8.4.1. </w:t>
      </w:r>
      <w:r>
        <w:t xml:space="preserve"> Em observância à Lei Municipal nº 14.569/2025 e à Lei Complementar nº 123/2006, a presente contratação adotará, sempre que cabível, o tratamento favorecido às microempresas e empresas de pequeno porte locais e regionais.</w:t>
      </w:r>
      <w:r/>
    </w:p>
    <w:p>
      <w:pPr>
        <w:pStyle w:val="828"/>
        <w:pBdr/>
        <w:spacing/>
        <w:ind/>
        <w:jc w:val="both"/>
        <w:rPr/>
      </w:pPr>
      <w:r>
        <w:rPr>
          <w:b/>
          <w:bCs/>
        </w:rPr>
        <w:t xml:space="preserve">8.4.2. </w:t>
      </w:r>
      <w:r>
        <w:t xml:space="preserve">Considerando a natureza do objeto e a existência de fornecedores enquadrados nessas categorias no mercado local e regional, se</w:t>
      </w:r>
      <w:r>
        <w:t xml:space="preserve">rá incentivada sua participação no procedimento de contratação, com vistas ao fortalecimento do desenvolvimento econômico local, à ampliação da competitividade e à promoção da proposta mais vantajosa para a Administração Pública.</w:t>
      </w:r>
      <w:r/>
    </w:p>
    <w:p>
      <w:pPr>
        <w:pStyle w:val="828"/>
        <w:pBdr/>
        <w:spacing/>
        <w:ind/>
        <w:jc w:val="both"/>
        <w:rPr/>
      </w:pPr>
      <w:r>
        <w:rPr>
          <w:b/>
          <w:bCs/>
        </w:rPr>
        <w:t xml:space="preserve">8.4.3. </w:t>
      </w:r>
      <w:r>
        <w:t xml:space="preserve">A aplicação do tratamento diferenciado observará os limites legais e regulamentares pertinentes, bem como a compatibilidade com a economicidade, eficiência e interesse público.</w:t>
      </w:r>
      <w:r/>
    </w:p>
    <w:p>
      <w:pPr>
        <w:pStyle w:val="828"/>
        <w:pBdr/>
        <w:spacing/>
        <w:ind/>
        <w:jc w:val="both"/>
        <w:rPr/>
      </w:pPr>
      <w:r/>
      <w:r/>
    </w:p>
    <w:p>
      <w:pPr>
        <w:pStyle w:val="828"/>
        <w:pBdr/>
        <w:shd w:val="clear" w:color="auto" w:fill="cccccc"/>
        <w:spacing/>
        <w:ind/>
        <w:jc w:val="both"/>
        <w:rPr/>
      </w:pPr>
      <w:r>
        <w:rPr>
          <w:b/>
          <w:bCs/>
        </w:rPr>
        <w:t xml:space="preserve">9 – DAS SANÇÕES ADMINISTRATIVAS</w:t>
      </w:r>
      <w:r/>
    </w:p>
    <w:p>
      <w:pPr>
        <w:pStyle w:val="1099"/>
        <w:pBdr/>
        <w:spacing w:after="0" w:before="0"/>
        <w:ind/>
        <w:jc w:val="both"/>
        <w:rPr>
          <w:szCs w:val="20"/>
          <w:lang w:val="pt-BR"/>
        </w:rPr>
      </w:pPr>
      <w:r>
        <w:rPr>
          <w:szCs w:val="20"/>
          <w:lang w:val="pt-BR"/>
        </w:rPr>
      </w:r>
      <w:r>
        <w:rPr>
          <w:szCs w:val="20"/>
          <w:lang w:val="pt-BR"/>
        </w:rPr>
      </w:r>
    </w:p>
    <w:p>
      <w:pPr>
        <w:pStyle w:val="1099"/>
        <w:pBdr/>
        <w:spacing w:after="0" w:before="0"/>
        <w:ind/>
        <w:jc w:val="both"/>
        <w:rPr>
          <w:szCs w:val="20"/>
          <w:lang w:val="pt-BR"/>
        </w:rPr>
      </w:pPr>
      <w:r>
        <w:rPr>
          <w:b/>
          <w:bCs/>
          <w:szCs w:val="20"/>
          <w:lang w:val="pt-BR"/>
        </w:rPr>
        <w:t xml:space="preserve">9.1. </w:t>
      </w:r>
      <w:r>
        <w:rPr>
          <w:szCs w:val="20"/>
          <w:lang w:val="pt-BR"/>
        </w:rPr>
        <w:t xml:space="preserve">Em conformidade com o disposto nos artigos 156 a 163 da Lei</w:t>
      </w:r>
      <w:r>
        <w:rPr>
          <w:szCs w:val="20"/>
          <w:lang w:val="pt-BR"/>
        </w:rPr>
        <w:t xml:space="preserve"> Federal nº 14.133, de 1º de abril de 2021, o contratado estará sujeito</w:t>
      </w:r>
      <w:r>
        <w:rPr>
          <w:szCs w:val="20"/>
          <w:lang w:val="pt-BR"/>
        </w:rPr>
        <w:t xml:space="preserve"> à aplicação de sanções administrativas, assegurados o contraditório, a ampla defesa e o devido processo legal, nas hipóteses de inexecução total ou parcial das obrigações assumidas ou pela prática de condutas infracionais no âmbito da execução contratual.</w:t>
      </w:r>
      <w:r>
        <w:rPr>
          <w:szCs w:val="20"/>
          <w:lang w:val="pt-BR"/>
        </w:rPr>
      </w:r>
    </w:p>
    <w:p>
      <w:pPr>
        <w:pStyle w:val="1099"/>
        <w:pBdr/>
        <w:spacing w:after="0" w:before="0"/>
        <w:ind/>
        <w:jc w:val="both"/>
        <w:rPr>
          <w:b/>
          <w:bCs/>
          <w:szCs w:val="20"/>
          <w:lang w:val="pt-BR"/>
        </w:rPr>
      </w:pPr>
      <w:r>
        <w:rPr>
          <w:b/>
          <w:bCs/>
          <w:szCs w:val="20"/>
          <w:lang w:val="pt-BR"/>
        </w:rPr>
        <w:t xml:space="preserve">9.2. As sanções aplicáveis são as seguintes:</w:t>
      </w:r>
      <w:r>
        <w:rPr>
          <w:b/>
          <w:bCs/>
          <w:szCs w:val="20"/>
          <w:lang w:val="pt-BR"/>
        </w:rPr>
      </w:r>
    </w:p>
    <w:p>
      <w:pPr>
        <w:pStyle w:val="1099"/>
        <w:pBdr/>
        <w:spacing w:after="0" w:before="0"/>
        <w:ind/>
        <w:jc w:val="both"/>
        <w:rPr>
          <w:szCs w:val="20"/>
          <w:lang w:val="pt-BR"/>
        </w:rPr>
      </w:pPr>
      <w:r>
        <w:rPr>
          <w:rStyle w:val="902"/>
          <w:szCs w:val="20"/>
          <w:lang w:val="pt-BR"/>
        </w:rPr>
        <w:t xml:space="preserve">I – Advertência</w:t>
      </w:r>
      <w:r>
        <w:rPr>
          <w:szCs w:val="20"/>
          <w:lang w:val="pt-BR"/>
        </w:rPr>
        <w:t xml:space="preserve">, que será aplicada exclusivamente nos casos de infração administrativa de menor gravidade, nos termos do inciso I do caput </w:t>
      </w:r>
      <w:r>
        <w:rPr>
          <w:szCs w:val="20"/>
          <w:lang w:val="pt-BR"/>
        </w:rPr>
        <w:t xml:space="preserve">do art. 155 da Lei nº 14.133/2021, desde que não se justifique a imposição de penalidade mais severa;</w:t>
      </w:r>
      <w:r>
        <w:rPr>
          <w:szCs w:val="20"/>
          <w:lang w:val="pt-BR"/>
        </w:rPr>
      </w:r>
    </w:p>
    <w:p>
      <w:pPr>
        <w:pStyle w:val="1099"/>
        <w:pBdr/>
        <w:spacing w:after="0" w:before="0"/>
        <w:ind/>
        <w:jc w:val="both"/>
        <w:rPr>
          <w:szCs w:val="20"/>
          <w:lang w:val="pt-BR"/>
        </w:rPr>
      </w:pPr>
      <w:r>
        <w:rPr>
          <w:rStyle w:val="902"/>
          <w:szCs w:val="20"/>
          <w:lang w:val="pt-BR"/>
        </w:rPr>
        <w:t xml:space="preserve">II – Multa</w:t>
      </w:r>
      <w:r>
        <w:rPr>
          <w:szCs w:val="20"/>
          <w:lang w:val="pt-BR"/>
        </w:rPr>
        <w:t xml:space="preserve">, calculada conforme previsto no edital ou contrato, com percentual não inferior a 0,5% (meio por cento) </w:t>
      </w:r>
      <w:r>
        <w:rPr>
          <w:szCs w:val="20"/>
          <w:lang w:val="pt-BR"/>
        </w:rPr>
        <w:t xml:space="preserve">nem superior a 30% (trinta por cento) sobre o valor do contrato, podendo ser aplicada de forma isolada ou cumulativamente com as demais sanções, especialmente nos casos de atraso injustificado, execução irregular ou descumprimento de cláusulas contratuais;</w:t>
      </w:r>
      <w:r>
        <w:rPr>
          <w:szCs w:val="20"/>
          <w:lang w:val="pt-BR"/>
        </w:rPr>
      </w:r>
    </w:p>
    <w:p>
      <w:pPr>
        <w:pStyle w:val="1099"/>
        <w:pBdr/>
        <w:spacing w:after="0" w:before="0"/>
        <w:ind/>
        <w:jc w:val="both"/>
        <w:rPr>
          <w:szCs w:val="20"/>
          <w:lang w:val="pt-BR"/>
        </w:rPr>
      </w:pPr>
      <w:r>
        <w:rPr>
          <w:rStyle w:val="902"/>
          <w:szCs w:val="20"/>
          <w:lang w:val="pt-BR"/>
        </w:rPr>
        <w:t xml:space="preserve">III – Impedimento de licitar e contrat</w:t>
      </w:r>
      <w:r>
        <w:rPr>
          <w:rStyle w:val="902"/>
          <w:szCs w:val="20"/>
          <w:lang w:val="pt-BR"/>
        </w:rPr>
        <w:t xml:space="preserve">ar com a Administração Pública</w:t>
      </w:r>
      <w:r>
        <w:rPr>
          <w:szCs w:val="20"/>
          <w:lang w:val="pt-BR"/>
        </w:rPr>
        <w:t xml:space="preserve">, no âmbito do ente federativo que aplicar a sanção, pelo prazo máximo de 3 (três) anos, nos casos previstos nos incisos II a VII do caput do art. 155 da Lei nº 14.133/2021, quando não se justificar penalidade mais gravosa;</w:t>
      </w:r>
      <w:r>
        <w:rPr>
          <w:szCs w:val="20"/>
          <w:lang w:val="pt-BR"/>
        </w:rPr>
      </w:r>
    </w:p>
    <w:p>
      <w:pPr>
        <w:pStyle w:val="1099"/>
        <w:pBdr/>
        <w:spacing w:after="0" w:before="0"/>
        <w:ind/>
        <w:jc w:val="both"/>
        <w:rPr>
          <w:szCs w:val="20"/>
          <w:lang w:val="pt-BR"/>
        </w:rPr>
      </w:pPr>
      <w:r>
        <w:rPr>
          <w:rStyle w:val="902"/>
          <w:szCs w:val="20"/>
          <w:lang w:val="pt-BR"/>
        </w:rPr>
        <w:t xml:space="preserve">IV – Declaração de inidoneidade para licitar ou contratar com a Administração Pública</w:t>
      </w:r>
      <w:r>
        <w:rPr>
          <w:szCs w:val="20"/>
          <w:lang w:val="pt-BR"/>
        </w:rPr>
        <w:t xml:space="preserve">, de todos os entes federativos, pelo prazo mínimo de 3 (três) anos e máximo de 6 (seis) anos, aplicável nas hipóteses de infrações graves previstas nos incisos VIII a XII d</w:t>
      </w:r>
      <w:r>
        <w:rPr>
          <w:szCs w:val="20"/>
          <w:lang w:val="pt-BR"/>
        </w:rPr>
        <w:t xml:space="preserve">o caput do art. 155 da referida lei, bem como quando as infrações dos incisos II a VII justificarem penalidade mais severa.</w:t>
      </w:r>
      <w:r>
        <w:rPr>
          <w:szCs w:val="20"/>
          <w:lang w:val="pt-BR"/>
        </w:rPr>
      </w:r>
    </w:p>
    <w:p>
      <w:pPr>
        <w:pStyle w:val="1099"/>
        <w:pBdr/>
        <w:spacing w:after="0" w:before="0"/>
        <w:ind/>
        <w:jc w:val="both"/>
        <w:rPr>
          <w:szCs w:val="20"/>
          <w:lang w:val="pt-BR"/>
        </w:rPr>
      </w:pPr>
      <w:r>
        <w:rPr>
          <w:b/>
          <w:bCs/>
          <w:szCs w:val="20"/>
          <w:lang w:val="pt-BR"/>
        </w:rPr>
        <w:t xml:space="preserve">9.3. </w:t>
      </w:r>
      <w:r>
        <w:rPr>
          <w:szCs w:val="20"/>
          <w:lang w:val="pt-BR"/>
        </w:rPr>
        <w:t xml:space="preserve">Na aplicação das sanções, serão observados os seguintes critérios, conforme § 1º do art. 156 da Lei nº 14.133/2021:</w:t>
      </w:r>
      <w:r>
        <w:rPr>
          <w:szCs w:val="20"/>
          <w:lang w:val="pt-BR"/>
        </w:rPr>
      </w:r>
    </w:p>
    <w:p>
      <w:pPr>
        <w:pStyle w:val="1099"/>
        <w:pBdr/>
        <w:spacing w:after="0" w:before="0"/>
        <w:ind/>
        <w:jc w:val="both"/>
        <w:rPr>
          <w:szCs w:val="20"/>
          <w:lang w:val="pt-BR"/>
        </w:rPr>
      </w:pPr>
      <w:r>
        <w:rPr>
          <w:b/>
          <w:bCs/>
          <w:szCs w:val="20"/>
          <w:lang w:val="pt-BR"/>
        </w:rPr>
        <w:t xml:space="preserve">9.3.1.</w:t>
      </w:r>
      <w:r>
        <w:rPr>
          <w:szCs w:val="20"/>
          <w:lang w:val="pt-BR"/>
        </w:rPr>
        <w:t xml:space="preserve"> A natureza e a gravidade da infração cometida;</w:t>
      </w:r>
      <w:r>
        <w:rPr>
          <w:szCs w:val="20"/>
          <w:lang w:val="pt-BR"/>
        </w:rPr>
      </w:r>
    </w:p>
    <w:p>
      <w:pPr>
        <w:pStyle w:val="1099"/>
        <w:pBdr/>
        <w:spacing w:after="0" w:before="0"/>
        <w:ind/>
        <w:jc w:val="both"/>
        <w:rPr>
          <w:szCs w:val="20"/>
          <w:lang w:val="pt-BR"/>
        </w:rPr>
      </w:pPr>
      <w:r>
        <w:rPr>
          <w:b/>
          <w:bCs/>
          <w:szCs w:val="20"/>
          <w:lang w:val="pt-BR"/>
        </w:rPr>
        <w:t xml:space="preserve">9.3.2. </w:t>
      </w:r>
      <w:r>
        <w:rPr>
          <w:szCs w:val="20"/>
          <w:lang w:val="pt-BR"/>
        </w:rPr>
        <w:t xml:space="preserve">As peculiaridades do caso concreto;</w:t>
      </w:r>
      <w:r>
        <w:rPr>
          <w:szCs w:val="20"/>
          <w:lang w:val="pt-BR"/>
        </w:rPr>
      </w:r>
    </w:p>
    <w:p>
      <w:pPr>
        <w:pStyle w:val="1099"/>
        <w:pBdr/>
        <w:spacing w:after="0" w:before="0"/>
        <w:ind/>
        <w:jc w:val="both"/>
        <w:rPr>
          <w:szCs w:val="20"/>
          <w:lang w:val="pt-BR"/>
        </w:rPr>
      </w:pPr>
      <w:r>
        <w:rPr>
          <w:b/>
          <w:bCs/>
          <w:szCs w:val="20"/>
          <w:lang w:val="pt-BR"/>
        </w:rPr>
        <w:t xml:space="preserve">9.3.3. </w:t>
      </w:r>
      <w:r>
        <w:rPr>
          <w:szCs w:val="20"/>
          <w:lang w:val="pt-BR"/>
        </w:rPr>
        <w:t xml:space="preserve">As circunstâncias atenuantes ou agravantes;</w:t>
      </w:r>
      <w:r>
        <w:rPr>
          <w:szCs w:val="20"/>
          <w:lang w:val="pt-BR"/>
        </w:rPr>
      </w:r>
    </w:p>
    <w:p>
      <w:pPr>
        <w:pStyle w:val="1099"/>
        <w:pBdr/>
        <w:spacing w:after="0" w:before="0"/>
        <w:ind/>
        <w:jc w:val="both"/>
        <w:rPr>
          <w:szCs w:val="20"/>
          <w:lang w:val="pt-BR"/>
        </w:rPr>
      </w:pPr>
      <w:r>
        <w:rPr>
          <w:b/>
          <w:bCs/>
          <w:szCs w:val="20"/>
          <w:lang w:val="pt-BR"/>
        </w:rPr>
        <w:t xml:space="preserve">9.3.4. </w:t>
      </w:r>
      <w:r>
        <w:rPr>
          <w:szCs w:val="20"/>
          <w:lang w:val="pt-BR"/>
        </w:rPr>
        <w:t xml:space="preserve">Os danos causados à Administração Pública;</w:t>
      </w:r>
      <w:r>
        <w:rPr>
          <w:szCs w:val="20"/>
          <w:lang w:val="pt-BR"/>
        </w:rPr>
      </w:r>
    </w:p>
    <w:p>
      <w:pPr>
        <w:pStyle w:val="1099"/>
        <w:pBdr/>
        <w:spacing w:after="0" w:before="0"/>
        <w:ind/>
        <w:jc w:val="both"/>
        <w:rPr>
          <w:szCs w:val="20"/>
          <w:lang w:val="pt-BR"/>
        </w:rPr>
      </w:pPr>
      <w:r>
        <w:rPr>
          <w:b/>
          <w:bCs/>
          <w:szCs w:val="20"/>
          <w:lang w:val="pt-BR"/>
        </w:rPr>
        <w:t xml:space="preserve">9.3.5. </w:t>
      </w:r>
      <w:r>
        <w:rPr>
          <w:szCs w:val="20"/>
          <w:lang w:val="pt-BR"/>
        </w:rPr>
        <w:t xml:space="preserve">A existência, implantação ou aperfeiçoamento de programa de in</w:t>
      </w:r>
      <w:r>
        <w:rPr>
          <w:szCs w:val="20"/>
          <w:lang w:val="pt-BR"/>
        </w:rPr>
        <w:t xml:space="preserve">tegridade pelo contratado.</w:t>
      </w:r>
      <w:r>
        <w:rPr>
          <w:szCs w:val="20"/>
          <w:lang w:val="pt-BR"/>
        </w:rPr>
      </w:r>
    </w:p>
    <w:p>
      <w:pPr>
        <w:pStyle w:val="1099"/>
        <w:pBdr/>
        <w:spacing w:after="0" w:before="0"/>
        <w:ind/>
        <w:jc w:val="both"/>
        <w:rPr>
          <w:szCs w:val="20"/>
          <w:lang w:val="pt-BR"/>
        </w:rPr>
      </w:pPr>
      <w:r>
        <w:rPr>
          <w:b/>
          <w:bCs/>
          <w:szCs w:val="20"/>
          <w:lang w:val="pt-BR"/>
        </w:rPr>
        <w:t xml:space="preserve">9.4.</w:t>
      </w:r>
      <w:r>
        <w:rPr>
          <w:szCs w:val="20"/>
          <w:lang w:val="pt-BR"/>
        </w:rPr>
        <w:t xml:space="preserve"> Nos termos do art. 157 da Lei nº 14.133/2021, a aplicação da multa será precedida de </w:t>
      </w:r>
      <w:r>
        <w:rPr>
          <w:rStyle w:val="902"/>
          <w:b w:val="0"/>
          <w:bCs w:val="0"/>
          <w:szCs w:val="20"/>
          <w:lang w:val="pt-BR"/>
        </w:rPr>
        <w:t xml:space="preserve">intimação do interessado</w:t>
      </w:r>
      <w:r>
        <w:rPr>
          <w:szCs w:val="20"/>
          <w:lang w:val="pt-BR"/>
        </w:rPr>
        <w:t xml:space="preserve">, facultando-se a apresentação de defesa no prazo de 15 (quinze) dias úteis.</w:t>
      </w:r>
      <w:r>
        <w:rPr>
          <w:szCs w:val="20"/>
          <w:lang w:val="pt-BR"/>
        </w:rPr>
      </w:r>
    </w:p>
    <w:p>
      <w:pPr>
        <w:pStyle w:val="1099"/>
        <w:pBdr/>
        <w:spacing w:after="0" w:before="0"/>
        <w:ind/>
        <w:jc w:val="both"/>
        <w:rPr>
          <w:szCs w:val="20"/>
          <w:lang w:val="pt-BR"/>
        </w:rPr>
      </w:pPr>
      <w:r>
        <w:rPr>
          <w:b/>
          <w:bCs/>
          <w:szCs w:val="20"/>
          <w:lang w:val="pt-BR"/>
        </w:rPr>
        <w:t xml:space="preserve">9.5.</w:t>
      </w:r>
      <w:r>
        <w:rPr>
          <w:szCs w:val="20"/>
          <w:lang w:val="pt-BR"/>
        </w:rPr>
        <w:t xml:space="preserve"> As penalidades de impedimento de licitar/contratar e de declaração de inidoneidade exigirão a </w:t>
      </w:r>
      <w:r>
        <w:rPr>
          <w:rStyle w:val="902"/>
          <w:b w:val="0"/>
          <w:bCs w:val="0"/>
          <w:szCs w:val="20"/>
          <w:lang w:val="pt-BR"/>
        </w:rPr>
        <w:t xml:space="preserve">instauração de processo de responsabilização</w:t>
      </w:r>
      <w:r>
        <w:rPr>
          <w:szCs w:val="20"/>
          <w:lang w:val="pt-BR"/>
        </w:rPr>
        <w:t xml:space="preserve">, conduzido por comissão composta por, no mínimo, dois servidores estáveis, garantindo-se o contraditório e a ampla defesa, conforme art. 158 da referi</w:t>
      </w:r>
      <w:r>
        <w:rPr>
          <w:szCs w:val="20"/>
          <w:lang w:val="pt-BR"/>
        </w:rPr>
        <w:t xml:space="preserve">da norma.</w:t>
      </w:r>
      <w:r>
        <w:rPr>
          <w:szCs w:val="20"/>
          <w:lang w:val="pt-BR"/>
        </w:rPr>
      </w:r>
    </w:p>
    <w:p>
      <w:pPr>
        <w:pStyle w:val="1099"/>
        <w:pBdr/>
        <w:spacing w:after="0" w:before="0"/>
        <w:ind/>
        <w:jc w:val="both"/>
        <w:rPr>
          <w:szCs w:val="20"/>
          <w:lang w:val="pt-BR"/>
        </w:rPr>
      </w:pPr>
      <w:r>
        <w:rPr>
          <w:b/>
          <w:bCs/>
          <w:szCs w:val="20"/>
          <w:lang w:val="pt-BR"/>
        </w:rPr>
        <w:t xml:space="preserve">9.6. </w:t>
      </w:r>
      <w:r>
        <w:rPr>
          <w:szCs w:val="20"/>
          <w:lang w:val="pt-BR"/>
        </w:rPr>
        <w:t xml:space="preserve">A sanção de declaração de inidoneidade deverá ser precedida de análise jurídica e será de competência exclusiva do Secretário Municipal de Saúde, nos termos do § 6º do art. 156.</w:t>
      </w:r>
      <w:r>
        <w:rPr>
          <w:szCs w:val="20"/>
          <w:lang w:val="pt-BR"/>
        </w:rPr>
      </w:r>
    </w:p>
    <w:p>
      <w:pPr>
        <w:pStyle w:val="1099"/>
        <w:pBdr/>
        <w:spacing w:after="0" w:before="0"/>
        <w:ind/>
        <w:jc w:val="both"/>
        <w:rPr>
          <w:szCs w:val="20"/>
          <w:lang w:val="pt-BR"/>
        </w:rPr>
      </w:pPr>
      <w:r>
        <w:rPr>
          <w:b/>
          <w:bCs/>
          <w:szCs w:val="20"/>
          <w:lang w:val="pt-BR"/>
        </w:rPr>
        <w:t xml:space="preserve">9.7.</w:t>
      </w:r>
      <w:r>
        <w:rPr>
          <w:szCs w:val="20"/>
          <w:lang w:val="pt-BR"/>
        </w:rPr>
        <w:t xml:space="preserve"> As sanções previstas nos incisos I, III e IV do art. 156 poderão ser aplicadas </w:t>
      </w:r>
      <w:r>
        <w:rPr>
          <w:rStyle w:val="902"/>
          <w:b w:val="0"/>
          <w:bCs w:val="0"/>
          <w:szCs w:val="20"/>
          <w:lang w:val="pt-BR"/>
        </w:rPr>
        <w:t xml:space="preserve">cumulativamente</w:t>
      </w:r>
      <w:r>
        <w:rPr>
          <w:szCs w:val="20"/>
          <w:lang w:val="pt-BR"/>
        </w:rPr>
        <w:t xml:space="preserve"> com a sanção de multa, conforme § 7º do mesmo artigo.</w:t>
      </w:r>
      <w:r>
        <w:rPr>
          <w:szCs w:val="20"/>
          <w:lang w:val="pt-BR"/>
        </w:rPr>
      </w:r>
    </w:p>
    <w:p>
      <w:pPr>
        <w:pStyle w:val="1099"/>
        <w:pBdr/>
        <w:spacing w:after="0" w:before="0"/>
        <w:ind/>
        <w:jc w:val="both"/>
        <w:rPr>
          <w:szCs w:val="20"/>
          <w:lang w:val="pt-BR"/>
        </w:rPr>
      </w:pPr>
      <w:r>
        <w:rPr>
          <w:b/>
          <w:bCs/>
          <w:szCs w:val="20"/>
          <w:lang w:val="pt-BR"/>
        </w:rPr>
        <w:t xml:space="preserve">9.8. </w:t>
      </w:r>
      <w:r>
        <w:rPr>
          <w:szCs w:val="20"/>
          <w:lang w:val="pt-BR"/>
        </w:rPr>
        <w:t xml:space="preserve">Caso a multa e as indenizações cabíveis sejam superiores ao valor devido pela Administração ao contratado, a diferença será descontada da garantia prestada ou c</w:t>
      </w:r>
      <w:r>
        <w:rPr>
          <w:szCs w:val="20"/>
          <w:lang w:val="pt-BR"/>
        </w:rPr>
        <w:t xml:space="preserve">obrada judicialmente, conforme § 8º do art. 156.</w:t>
      </w:r>
      <w:r>
        <w:rPr>
          <w:szCs w:val="20"/>
          <w:lang w:val="pt-BR"/>
        </w:rPr>
      </w:r>
    </w:p>
    <w:p>
      <w:pPr>
        <w:pStyle w:val="1099"/>
        <w:pBdr/>
        <w:spacing w:after="0" w:before="0"/>
        <w:ind/>
        <w:jc w:val="both"/>
        <w:rPr>
          <w:szCs w:val="20"/>
          <w:lang w:val="pt-BR"/>
        </w:rPr>
      </w:pPr>
      <w:r>
        <w:rPr>
          <w:b/>
          <w:bCs/>
          <w:szCs w:val="20"/>
          <w:lang w:val="pt-BR"/>
        </w:rPr>
        <w:t xml:space="preserve">9.9 </w:t>
      </w:r>
      <w:r>
        <w:rPr>
          <w:szCs w:val="20"/>
          <w:lang w:val="pt-BR"/>
        </w:rPr>
        <w:t xml:space="preserve">A aplicação das penalidades </w:t>
      </w:r>
      <w:r>
        <w:rPr>
          <w:rStyle w:val="902"/>
          <w:b w:val="0"/>
          <w:bCs w:val="0"/>
          <w:szCs w:val="20"/>
          <w:lang w:val="pt-BR"/>
        </w:rPr>
        <w:t xml:space="preserve">não exime o contratado da obrigação de reparação integral dos danos</w:t>
      </w:r>
      <w:r>
        <w:rPr>
          <w:szCs w:val="20"/>
          <w:lang w:val="pt-BR"/>
        </w:rPr>
        <w:t xml:space="preserve"> causados à Administração, nos termos do § 9º do art. 156 da Lei nº 14.133/2021.</w:t>
      </w:r>
      <w:r>
        <w:rPr>
          <w:szCs w:val="20"/>
          <w:lang w:val="pt-BR"/>
        </w:rPr>
      </w:r>
    </w:p>
    <w:p>
      <w:pPr>
        <w:pStyle w:val="1099"/>
        <w:pBdr/>
        <w:spacing w:after="0" w:before="0"/>
        <w:ind/>
        <w:jc w:val="both"/>
        <w:rPr>
          <w:szCs w:val="20"/>
          <w:lang w:val="pt-BR"/>
        </w:rPr>
      </w:pPr>
      <w:r>
        <w:rPr>
          <w:b/>
          <w:bCs/>
          <w:szCs w:val="20"/>
          <w:lang w:val="pt-BR"/>
        </w:rPr>
        <w:t xml:space="preserve">9.10.</w:t>
      </w:r>
      <w:r>
        <w:rPr>
          <w:szCs w:val="20"/>
          <w:lang w:val="pt-BR"/>
        </w:rPr>
        <w:t xml:space="preserve"> Nos termos do art. 163 da referida Lei, admite-se a </w:t>
      </w:r>
      <w:r>
        <w:rPr>
          <w:rStyle w:val="902"/>
          <w:b w:val="0"/>
          <w:bCs w:val="0"/>
          <w:szCs w:val="20"/>
          <w:lang w:val="pt-BR"/>
        </w:rPr>
        <w:t xml:space="preserve">reabilitação do contratado</w:t>
      </w:r>
      <w:r>
        <w:rPr>
          <w:szCs w:val="20"/>
          <w:lang w:val="pt-BR"/>
        </w:rPr>
        <w:t xml:space="preserve">, mediante o cumprimento cumulativo das seguintes condições:</w:t>
      </w:r>
      <w:r>
        <w:rPr>
          <w:szCs w:val="20"/>
          <w:lang w:val="pt-BR"/>
        </w:rPr>
      </w:r>
    </w:p>
    <w:p>
      <w:pPr>
        <w:pStyle w:val="1099"/>
        <w:pBdr/>
        <w:spacing w:after="0" w:before="0"/>
        <w:ind/>
        <w:jc w:val="both"/>
        <w:rPr>
          <w:szCs w:val="20"/>
          <w:lang w:val="pt-BR"/>
        </w:rPr>
      </w:pPr>
      <w:r>
        <w:rPr>
          <w:b/>
          <w:bCs/>
          <w:szCs w:val="20"/>
          <w:lang w:val="pt-BR"/>
        </w:rPr>
        <w:t xml:space="preserve">9.10.1. </w:t>
      </w:r>
      <w:r>
        <w:rPr>
          <w:szCs w:val="20"/>
          <w:lang w:val="pt-BR"/>
        </w:rPr>
        <w:t xml:space="preserve">Reparação integral do dano;</w:t>
      </w:r>
      <w:r>
        <w:rPr>
          <w:szCs w:val="20"/>
          <w:lang w:val="pt-BR"/>
        </w:rPr>
      </w:r>
    </w:p>
    <w:p>
      <w:pPr>
        <w:pStyle w:val="1099"/>
        <w:pBdr/>
        <w:spacing w:after="0" w:before="0"/>
        <w:ind/>
        <w:jc w:val="both"/>
        <w:rPr>
          <w:szCs w:val="20"/>
          <w:lang w:val="pt-BR"/>
        </w:rPr>
      </w:pPr>
      <w:r>
        <w:rPr>
          <w:b/>
          <w:bCs/>
          <w:szCs w:val="20"/>
          <w:lang w:val="pt-BR"/>
        </w:rPr>
        <w:t xml:space="preserve">9.10.2. </w:t>
      </w:r>
      <w:r>
        <w:rPr>
          <w:szCs w:val="20"/>
          <w:lang w:val="pt-BR"/>
        </w:rPr>
        <w:t xml:space="preserve">Pagamento da multa;</w:t>
      </w:r>
      <w:r>
        <w:rPr>
          <w:szCs w:val="20"/>
          <w:lang w:val="pt-BR"/>
        </w:rPr>
      </w:r>
    </w:p>
    <w:p>
      <w:pPr>
        <w:pStyle w:val="1099"/>
        <w:pBdr/>
        <w:spacing w:after="0" w:before="0"/>
        <w:ind/>
        <w:jc w:val="both"/>
        <w:rPr>
          <w:szCs w:val="20"/>
          <w:lang w:val="pt-BR"/>
        </w:rPr>
      </w:pPr>
      <w:r>
        <w:rPr>
          <w:b/>
          <w:bCs/>
          <w:szCs w:val="20"/>
          <w:lang w:val="pt-BR"/>
        </w:rPr>
        <w:t xml:space="preserve">9.10.3. </w:t>
      </w:r>
      <w:r>
        <w:rPr>
          <w:szCs w:val="20"/>
          <w:lang w:val="pt-BR"/>
        </w:rPr>
        <w:t xml:space="preserve">Decurso de, no mínimo, 1 (um) ano da aplicação do impedimento ou 3</w:t>
      </w:r>
      <w:r>
        <w:rPr>
          <w:szCs w:val="20"/>
          <w:lang w:val="pt-BR"/>
        </w:rPr>
        <w:t xml:space="preserve"> (três) anos da inidoneidade;</w:t>
      </w:r>
      <w:r>
        <w:rPr>
          <w:szCs w:val="20"/>
          <w:lang w:val="pt-BR"/>
        </w:rPr>
      </w:r>
    </w:p>
    <w:p>
      <w:pPr>
        <w:pStyle w:val="1099"/>
        <w:pBdr/>
        <w:spacing w:after="0" w:before="0"/>
        <w:ind/>
        <w:jc w:val="both"/>
        <w:rPr>
          <w:szCs w:val="20"/>
          <w:lang w:val="pt-BR"/>
        </w:rPr>
      </w:pPr>
      <w:r>
        <w:rPr>
          <w:b/>
          <w:bCs/>
          <w:szCs w:val="20"/>
          <w:lang w:val="pt-BR"/>
        </w:rPr>
        <w:t xml:space="preserve">9.10.4.</w:t>
      </w:r>
      <w:r>
        <w:rPr>
          <w:szCs w:val="20"/>
          <w:lang w:val="pt-BR"/>
        </w:rPr>
        <w:t xml:space="preserve"> Cumprimento das condições estipuladas no ato sancionador;</w:t>
      </w:r>
      <w:r>
        <w:rPr>
          <w:szCs w:val="20"/>
          <w:lang w:val="pt-BR"/>
        </w:rPr>
      </w:r>
    </w:p>
    <w:p>
      <w:pPr>
        <w:pStyle w:val="1099"/>
        <w:pBdr/>
        <w:spacing w:after="0" w:before="0"/>
        <w:ind/>
        <w:jc w:val="both"/>
        <w:rPr>
          <w:szCs w:val="20"/>
          <w:lang w:val="pt-BR"/>
        </w:rPr>
      </w:pPr>
      <w:r>
        <w:rPr>
          <w:b/>
          <w:bCs/>
          <w:szCs w:val="20"/>
          <w:lang w:val="pt-BR"/>
        </w:rPr>
        <w:t xml:space="preserve">9.10.5</w:t>
      </w:r>
      <w:r>
        <w:rPr>
          <w:szCs w:val="20"/>
          <w:lang w:val="pt-BR"/>
        </w:rPr>
        <w:t xml:space="preserve">. Parecer jurídico conclusivo favorável à reabilitação.</w:t>
      </w:r>
      <w:r>
        <w:rPr>
          <w:szCs w:val="20"/>
          <w:lang w:val="pt-BR"/>
        </w:rPr>
      </w:r>
    </w:p>
    <w:p>
      <w:pPr>
        <w:pStyle w:val="1099"/>
        <w:pBdr/>
        <w:spacing w:after="0" w:before="0"/>
        <w:ind/>
        <w:jc w:val="both"/>
        <w:rPr>
          <w:szCs w:val="20"/>
          <w:lang w:val="pt-BR"/>
        </w:rPr>
      </w:pPr>
      <w:r>
        <w:rPr>
          <w:b/>
          <w:bCs/>
          <w:szCs w:val="20"/>
          <w:lang w:val="pt-BR"/>
        </w:rPr>
        <w:t xml:space="preserve">9.11. </w:t>
      </w:r>
      <w:r>
        <w:rPr>
          <w:szCs w:val="20"/>
          <w:lang w:val="pt-BR"/>
        </w:rPr>
        <w:t xml:space="preserve">Por fim, conforme art. 161 da Lei nº 14.133/2021, as penalidades aplicadas deverão ser devid</w:t>
      </w:r>
      <w:r>
        <w:rPr>
          <w:szCs w:val="20"/>
          <w:lang w:val="pt-BR"/>
        </w:rPr>
        <w:t xml:space="preserve">amente informadas e atualizadas no prazo de até 15 (quinze) dias úteis nos sistemas de controle da Administração Pública, tais como o Cadastro Nacional de Empresas Inidôneas e Suspensas (CEIS) e o Cadastro Nacional de Empresas Punidas (CNEP), a fim de gara</w:t>
      </w:r>
      <w:r>
        <w:rPr>
          <w:szCs w:val="20"/>
          <w:lang w:val="pt-BR"/>
        </w:rPr>
        <w:t xml:space="preserve">ntir a devida publicidade e transparência.</w:t>
      </w:r>
      <w:r>
        <w:rPr>
          <w:szCs w:val="20"/>
          <w:lang w:val="pt-BR"/>
        </w:rPr>
      </w:r>
    </w:p>
    <w:p>
      <w:pPr>
        <w:pStyle w:val="1099"/>
        <w:pBdr/>
        <w:spacing w:after="0" w:before="0"/>
        <w:ind/>
        <w:jc w:val="both"/>
        <w:rPr>
          <w:szCs w:val="20"/>
          <w:lang w:val="pt-BR"/>
        </w:rPr>
      </w:pPr>
      <w:r>
        <w:rPr>
          <w:szCs w:val="20"/>
          <w:lang w:val="pt-BR"/>
        </w:rPr>
      </w:r>
      <w:r>
        <w:rPr>
          <w:szCs w:val="20"/>
          <w:lang w:val="pt-BR"/>
        </w:rPr>
      </w:r>
    </w:p>
    <w:p>
      <w:pPr>
        <w:pStyle w:val="828"/>
        <w:pBdr/>
        <w:shd w:val="clear" w:color="auto" w:fill="cccccc"/>
        <w:spacing/>
        <w:ind/>
        <w:jc w:val="both"/>
        <w:rPr/>
      </w:pPr>
      <w:r>
        <w:rPr>
          <w:b/>
          <w:bCs/>
        </w:rPr>
        <w:t xml:space="preserve">10 – ESTIMATIVAS DO VALOR DA CONTRATAÇÃO </w:t>
      </w:r>
      <w:r/>
    </w:p>
    <w:p>
      <w:pPr>
        <w:pStyle w:val="828"/>
        <w:pBdr/>
        <w:spacing/>
        <w:ind/>
        <w:jc w:val="both"/>
        <w:rPr/>
      </w:pPr>
      <w:r/>
      <w:r/>
    </w:p>
    <w:p>
      <w:pPr>
        <w:pStyle w:val="828"/>
        <w:pBdr/>
        <w:spacing/>
        <w:ind/>
        <w:jc w:val="both"/>
        <w:rPr/>
      </w:pPr>
      <w:r>
        <w:rPr>
          <w:b/>
          <w:bCs/>
        </w:rPr>
        <w:t xml:space="preserve">10.1. </w:t>
      </w:r>
      <w:r>
        <w:t xml:space="preserve">A estimativa do valor da contratação foi elaborada em conformidade com o art. 18, §1º, inciso VI, da Lei nº 14.133/2021, observando-se metodologia compatível com o</w:t>
      </w:r>
      <w:r>
        <w:t xml:space="preserve">s princípios do planejamento, da economicidade e da eficiência administrativa. Para a formação do valor estimado, adotou-se pesquisa de preços baseada em múltiplas fontes idôneas e compatíveis com o objeto, incluindo painéis oficiais de preços públicos, co</w:t>
      </w:r>
      <w:r>
        <w:t xml:space="preserve">ntratações similares realizadas por outros entes da Administração Pública e bases públicas de dados, assegurando maior aderência aos valores praticados no mercado.</w:t>
      </w:r>
      <w:r/>
    </w:p>
    <w:p>
      <w:pPr>
        <w:pStyle w:val="828"/>
        <w:pBdr/>
        <w:spacing/>
        <w:ind/>
        <w:jc w:val="both"/>
        <w:rPr/>
      </w:pPr>
      <w:r>
        <w:rPr>
          <w:b/>
          <w:bCs/>
        </w:rPr>
        <w:t xml:space="preserve">10.2. </w:t>
      </w:r>
      <w:r>
        <w:t xml:space="preserve">Os preços coletados foram submetidos à análise crítica, com exclusão fundamentada de v</w:t>
      </w:r>
      <w:r>
        <w:t xml:space="preserve">alores manifestamente inexequíveis ou excessivos, a fim de garantir fidedignidade e evitar distorções na estimativa. O valor unitário estimado de cada item corresponde à média aritmética dos preços válidos obtidos nas fontes pesquisadas, sendo o valor glob</w:t>
      </w:r>
      <w:r>
        <w:t xml:space="preserve">al apurado mediante multiplicação dos valores unitários pelos respectivos quantitativos definidos na memória de cálculo constante deste Estudo Técnico Preliminar.</w:t>
      </w:r>
      <w:r/>
    </w:p>
    <w:p>
      <w:pPr>
        <w:pStyle w:val="828"/>
        <w:pBdr/>
        <w:spacing/>
        <w:ind/>
        <w:jc w:val="both"/>
        <w:rPr/>
      </w:pPr>
      <w:r>
        <w:rPr>
          <w:b/>
          <w:bCs/>
        </w:rPr>
        <w:t xml:space="preserve">10.3.</w:t>
      </w:r>
      <w:r>
        <w:t xml:space="preserve"> O custo estimado total da contratação é de</w:t>
      </w:r>
      <w:r>
        <w:rPr>
          <w:color w:val="ff0000"/>
        </w:rPr>
        <w:t xml:space="preserve"> </w:t>
      </w:r>
      <w:r>
        <w:rPr>
          <w:b/>
          <w:bCs/>
        </w:rPr>
        <w:t xml:space="preserve">R$ 1.012.474,21 (UM MILHÃO DOZE MIL QUATROCENTOS E SETENTA E QUATRO REAIS E VINTE E UM CENTAVOS)</w:t>
      </w:r>
      <w:r>
        <w:t xml:space="preserve">, conforme valores apostos na tabela disposta no item 1.</w:t>
      </w:r>
      <w:r/>
    </w:p>
    <w:p>
      <w:pPr>
        <w:pStyle w:val="828"/>
        <w:pBdr/>
        <w:spacing/>
        <w:ind/>
        <w:jc w:val="both"/>
        <w:rPr/>
      </w:pPr>
      <w:r/>
      <w:r/>
    </w:p>
    <w:p>
      <w:pPr>
        <w:pStyle w:val="828"/>
        <w:pBdr/>
        <w:spacing/>
        <w:ind/>
        <w:jc w:val="both"/>
        <w:rPr>
          <w:rFonts w:eastAsia="SimSun"/>
        </w:rPr>
      </w:pPr>
      <w:r>
        <w:rPr>
          <w:rFonts w:eastAsia="SimSun"/>
          <w:b/>
          <w:bCs/>
        </w:rPr>
        <w:t xml:space="preserve">10.4. </w:t>
      </w:r>
      <w:r>
        <w:rPr>
          <w:rFonts w:eastAsia="SimSun"/>
        </w:rPr>
        <w:t xml:space="preserve">Registra-se que os itens constantes na planilha apresentam registros zerados em exercícios anteriores, tendo em vista que a marcenaria não s</w:t>
      </w:r>
      <w:r>
        <w:rPr>
          <w:rFonts w:eastAsia="SimSun"/>
        </w:rPr>
        <w:t xml:space="preserve">e encontrava formalmente instituída na estrutura administrativa da Secretaria Municipal de Saúde, inexistindo, portanto, histórico anterior de aquisições, consumo ou execução contratual correlata que possibilitasse parâmetros comparativos. Trata-se da prim</w:t>
      </w:r>
      <w:r>
        <w:rPr>
          <w:rFonts w:eastAsia="SimSun"/>
        </w:rPr>
        <w:t xml:space="preserve">eira formação de registro de preços para esse objeto. As unidades de medida, especificações técnicas e quantitativos foram definidos com base em Estudo Técnico Preliminar elaborado pelo Setor de Engenharia, considerando a implantação, estruturação e pleno </w:t>
      </w:r>
      <w:r>
        <w:rPr>
          <w:rFonts w:eastAsia="SimSun"/>
        </w:rPr>
        <w:t xml:space="preserve">funcionamento da marcenaria, a atuação simultânea de 06 marceneiros, os tipos de serviços a serem executados, a capacidade produtiva estimada e a observância das normas de segurança aplicáveis.</w:t>
      </w:r>
      <w:r>
        <w:rPr>
          <w:rFonts w:eastAsia="SimSun"/>
        </w:rPr>
      </w:r>
    </w:p>
    <w:p>
      <w:pPr>
        <w:pStyle w:val="828"/>
        <w:pBdr/>
        <w:spacing/>
        <w:ind/>
        <w:jc w:val="both"/>
        <w:rPr>
          <w:rFonts w:eastAsia="SimSun"/>
        </w:rPr>
      </w:pPr>
      <w:r>
        <w:rPr>
          <w:rFonts w:eastAsia="SimSun"/>
          <w:b/>
          <w:bCs/>
        </w:rPr>
        <w:t xml:space="preserve">10.4.1. </w:t>
      </w:r>
      <w:r>
        <w:rPr>
          <w:rFonts w:eastAsia="SimSun"/>
        </w:rPr>
        <w:t xml:space="preserve">Nos exercícios anteriores, eventuais demandas relacion</w:t>
      </w:r>
      <w:r>
        <w:rPr>
          <w:rFonts w:eastAsia="SimSun"/>
        </w:rPr>
        <w:t xml:space="preserve">adas a serviços de marcenaria eram atendidas de forma pontual por terceiros ou por soluções administrativas não estruturadas, não havendo unidade própria formalmente instituída nem demanda regular que justificasse aquisição específica e planejada. Com a es</w:t>
      </w:r>
      <w:r>
        <w:rPr>
          <w:rFonts w:eastAsia="SimSun"/>
        </w:rPr>
        <w:t xml:space="preserve">truturação da marcenaria e a disponibilização de equipe própria composta por 06 marceneiros, surge a necessidade </w:t>
      </w:r>
      <w:r>
        <w:rPr>
          <w:rFonts w:eastAsia="SimSun"/>
        </w:rPr>
        <w:t xml:space="preserve">de aquisição inicial dos bens indispensáveis à fabricação, montagem, manutenção, reparo e adaptação de mobiliários planejados, razão pela qual os quantitativos atualmente previstos decorrem de planejamento técnico-operacional e não de histórico de consumo.</w:t>
      </w:r>
      <w:r>
        <w:rPr>
          <w:rFonts w:eastAsia="SimSun"/>
        </w:rPr>
      </w:r>
    </w:p>
    <w:p>
      <w:pPr>
        <w:pStyle w:val="828"/>
        <w:pBdr/>
        <w:spacing/>
        <w:ind/>
        <w:jc w:val="both"/>
        <w:rPr>
          <w:rFonts w:eastAsia="SimSun"/>
        </w:rPr>
      </w:pPr>
      <w:r>
        <w:rPr>
          <w:rFonts w:eastAsia="SimSun"/>
          <w:b/>
          <w:bCs/>
        </w:rPr>
        <w:t xml:space="preserve">10.4.2. </w:t>
      </w:r>
      <w:r>
        <w:rPr>
          <w:rFonts w:eastAsia="SimSun"/>
        </w:rPr>
        <w:t xml:space="preserve">Assim, as quantidades estimadas foram definidas com base em critérios de razoabilidade, proporcionalidade e economicidade, contempland</w:t>
      </w:r>
      <w:r>
        <w:rPr>
          <w:rFonts w:eastAsia="SimSun"/>
        </w:rPr>
        <w:t xml:space="preserve">o o mínimo necessário para garantir funcionamento adequado, contínuo e seguro da unidade, assegurando eficiência na aplicação dos recursos públicos e adequada estruturação da nova marcenaria.</w:t>
      </w:r>
      <w:r>
        <w:rPr>
          <w:rFonts w:eastAsia="SimSun"/>
        </w:rPr>
      </w:r>
    </w:p>
    <w:p>
      <w:pPr>
        <w:pStyle w:val="828"/>
        <w:pBdr/>
        <w:spacing/>
        <w:ind/>
        <w:jc w:val="both"/>
        <w:rPr>
          <w:rFonts w:eastAsia="SimSun"/>
        </w:rPr>
      </w:pPr>
      <w:r>
        <w:rPr>
          <w:rFonts w:eastAsia="SimSun"/>
        </w:rPr>
      </w:r>
      <w:r>
        <w:rPr>
          <w:rFonts w:eastAsia="SimSun"/>
        </w:rPr>
      </w:r>
    </w:p>
    <w:p>
      <w:pPr>
        <w:pStyle w:val="828"/>
        <w:pBdr/>
        <w:shd w:val="clear" w:color="auto" w:fill="cccccc"/>
        <w:spacing/>
        <w:ind/>
        <w:jc w:val="both"/>
        <w:rPr/>
      </w:pPr>
      <w:r>
        <w:rPr>
          <w:b/>
          <w:bCs/>
        </w:rPr>
        <w:t xml:space="preserve">11 – DA GARANTIA EXIGIDA</w:t>
      </w:r>
      <w:r/>
    </w:p>
    <w:p>
      <w:pPr>
        <w:pStyle w:val="1099"/>
        <w:pBdr/>
        <w:spacing w:after="52" w:before="52" w:line="216" w:lineRule="auto"/>
        <w:ind/>
        <w:jc w:val="both"/>
        <w:rPr>
          <w:b/>
          <w:bCs/>
          <w:color w:val="000000"/>
          <w:szCs w:val="20"/>
          <w:lang w:val="pt-BR"/>
        </w:rPr>
      </w:pPr>
      <w:r>
        <w:rPr>
          <w:b/>
          <w:bCs/>
          <w:color w:val="000000"/>
          <w:szCs w:val="20"/>
          <w:lang w:val="pt-BR"/>
        </w:rPr>
      </w:r>
      <w:r>
        <w:rPr>
          <w:b/>
          <w:bCs/>
          <w:color w:val="000000"/>
          <w:szCs w:val="20"/>
          <w:lang w:val="pt-BR"/>
        </w:rPr>
      </w:r>
    </w:p>
    <w:p>
      <w:pPr>
        <w:pStyle w:val="1099"/>
        <w:pBdr/>
        <w:spacing w:after="52" w:before="52" w:line="216" w:lineRule="auto"/>
        <w:ind/>
        <w:jc w:val="both"/>
        <w:rPr>
          <w:szCs w:val="20"/>
          <w:lang w:val="pt-BR"/>
        </w:rPr>
      </w:pPr>
      <w:r>
        <w:rPr>
          <w:b/>
          <w:bCs/>
          <w:color w:val="000000"/>
          <w:szCs w:val="20"/>
          <w:lang w:val="pt-BR"/>
        </w:rPr>
        <w:t xml:space="preserve">11.1. GARANTIA CONTRATUAL</w:t>
      </w:r>
      <w:r>
        <w:rPr>
          <w:b/>
          <w:bCs/>
          <w:color w:val="ff0000"/>
          <w:szCs w:val="20"/>
          <w:lang w:val="pt-BR"/>
        </w:rPr>
        <w:t xml:space="preserve"> </w:t>
      </w:r>
      <w:r>
        <w:rPr>
          <w:szCs w:val="20"/>
          <w:lang w:val="pt-BR"/>
        </w:rPr>
      </w:r>
      <w:r>
        <w:rPr>
          <w:szCs w:val="20"/>
          <w:lang w:val="pt-BR"/>
        </w:rPr>
      </w:r>
    </w:p>
    <w:p>
      <w:pPr>
        <w:pStyle w:val="1099"/>
        <w:pBdr/>
        <w:spacing w:after="0" w:before="0"/>
        <w:ind/>
        <w:jc w:val="both"/>
        <w:rPr>
          <w:szCs w:val="20"/>
          <w:lang w:val="pt-BR"/>
        </w:rPr>
      </w:pPr>
      <w:r>
        <w:rPr>
          <w:b/>
          <w:bCs/>
          <w:szCs w:val="20"/>
          <w:lang w:val="pt-BR"/>
        </w:rPr>
        <w:t xml:space="preserve">11.1.1.</w:t>
      </w:r>
      <w:r>
        <w:rPr>
          <w:szCs w:val="20"/>
          <w:lang w:val="pt-BR"/>
        </w:rPr>
        <w:t xml:space="preserve"> Nã</w:t>
      </w:r>
      <w:r>
        <w:rPr>
          <w:szCs w:val="20"/>
          <w:lang w:val="pt-BR"/>
        </w:rPr>
        <w:t xml:space="preserve">o será exigida garantia de execução contratual, nos termos do art. 96 da Lei nº 14.133/2021, considerando tratar-se de aquisição de bens comuns, com obrigação exaurida mediante entrega regular e recebimento definitivo, não se verificando risco relevante ou</w:t>
      </w:r>
      <w:r>
        <w:rPr>
          <w:szCs w:val="20"/>
          <w:lang w:val="pt-BR"/>
        </w:rPr>
        <w:t xml:space="preserve"> complexidade que justifique a imposição da referida garantia, observados os princípios da proporcionalidade, competitividade e economicidade.</w:t>
      </w:r>
      <w:r>
        <w:rPr>
          <w:szCs w:val="20"/>
          <w:lang w:val="pt-BR"/>
        </w:rPr>
      </w:r>
    </w:p>
    <w:p>
      <w:pPr>
        <w:pStyle w:val="1099"/>
        <w:pBdr/>
        <w:spacing w:after="52" w:before="52" w:line="216" w:lineRule="auto"/>
        <w:ind/>
        <w:jc w:val="both"/>
        <w:rPr>
          <w:b/>
          <w:bCs/>
          <w:color w:val="000000"/>
          <w:szCs w:val="20"/>
          <w:highlight w:val="yellow"/>
          <w:lang w:val="pt-BR"/>
        </w:rPr>
      </w:pPr>
      <w:r>
        <w:rPr>
          <w:b/>
          <w:bCs/>
          <w:color w:val="000000"/>
          <w:szCs w:val="20"/>
          <w:lang w:val="pt-BR"/>
        </w:rPr>
        <w:t xml:space="preserve">11.2. GARANTIA TECNICA DE PRODUTOS OU SERVIÇOS</w:t>
      </w:r>
      <w:r>
        <w:rPr>
          <w:b/>
          <w:bCs/>
          <w:color w:val="000000"/>
          <w:szCs w:val="20"/>
          <w:highlight w:val="yellow"/>
          <w:lang w:val="pt-BR"/>
        </w:rPr>
      </w:r>
      <w:r>
        <w:rPr>
          <w:b/>
          <w:bCs/>
          <w:color w:val="000000"/>
          <w:szCs w:val="20"/>
          <w:highlight w:val="yellow"/>
          <w:lang w:val="pt-BR"/>
        </w:rPr>
      </w:r>
    </w:p>
    <w:p>
      <w:pPr>
        <w:pStyle w:val="1099"/>
        <w:pBdr/>
        <w:spacing w:after="0" w:before="0"/>
        <w:ind/>
        <w:jc w:val="both"/>
        <w:rPr>
          <w:szCs w:val="20"/>
          <w:lang w:val="pt-BR"/>
        </w:rPr>
      </w:pPr>
      <w:r>
        <w:rPr>
          <w:b/>
          <w:bCs/>
          <w:szCs w:val="20"/>
          <w:lang w:val="pt-BR"/>
        </w:rPr>
        <w:t xml:space="preserve">11.2.1. </w:t>
      </w:r>
      <w:r>
        <w:rPr>
          <w:szCs w:val="20"/>
          <w:lang w:val="pt-BR"/>
        </w:rPr>
        <w:t xml:space="preserve">Os equipamentos e ferramentas destinados à Marcenaria d</w:t>
      </w:r>
      <w:r>
        <w:rPr>
          <w:szCs w:val="20"/>
          <w:lang w:val="pt-BR"/>
        </w:rPr>
        <w:t xml:space="preserve">everão possuir garantia mínima de 12 (doze) meses, contados a partir do primeiro dia útil subsequente ao recebimento definitivo, contra defeitos de fabricação, falhas de desempenho, vícios de qualidade ou funcionamento inadequado decorrente de uso regular.</w:t>
      </w:r>
      <w:r>
        <w:rPr>
          <w:szCs w:val="20"/>
          <w:lang w:val="pt-BR"/>
        </w:rPr>
      </w:r>
    </w:p>
    <w:p>
      <w:pPr>
        <w:pStyle w:val="1099"/>
        <w:pBdr/>
        <w:spacing w:after="0" w:before="0"/>
        <w:ind/>
        <w:jc w:val="both"/>
        <w:rPr>
          <w:szCs w:val="20"/>
          <w:lang w:val="pt-BR"/>
        </w:rPr>
      </w:pPr>
      <w:r>
        <w:rPr>
          <w:b/>
          <w:bCs/>
          <w:szCs w:val="20"/>
          <w:lang w:val="pt-BR"/>
        </w:rPr>
        <w:t xml:space="preserve">11</w:t>
      </w:r>
      <w:r>
        <w:rPr>
          <w:b/>
          <w:bCs/>
          <w:szCs w:val="20"/>
          <w:lang w:val="pt-BR"/>
        </w:rPr>
        <w:t xml:space="preserve">.2.2. </w:t>
      </w:r>
      <w:r>
        <w:rPr>
          <w:szCs w:val="20"/>
          <w:lang w:val="pt-BR"/>
        </w:rPr>
        <w:t xml:space="preserve">A garantia contratual ora estabelecida é complementar à garantia legal e não exclui, limita ou substitui a responsabilidade da c</w:t>
      </w:r>
      <w:r>
        <w:rPr>
          <w:szCs w:val="20"/>
          <w:lang w:val="pt-BR"/>
        </w:rPr>
        <w:t xml:space="preserve">ontratada por vícios ocultos que venham a ser constatados após o término do prazo de garantia, nos termos da legislação aplicável, especialmente quando tais vícios tornem o bem impróprio ao uso ou lhe reduzam significativamente o valor ou a funcionalidade.</w:t>
      </w:r>
      <w:r>
        <w:rPr>
          <w:szCs w:val="20"/>
          <w:lang w:val="pt-BR"/>
        </w:rPr>
      </w:r>
    </w:p>
    <w:p>
      <w:pPr>
        <w:pStyle w:val="1099"/>
        <w:pBdr/>
        <w:spacing w:after="0" w:before="0"/>
        <w:ind/>
        <w:jc w:val="both"/>
        <w:rPr>
          <w:b/>
          <w:bCs/>
          <w:szCs w:val="20"/>
          <w:lang w:val="pt-BR"/>
        </w:rPr>
      </w:pPr>
      <w:r>
        <w:rPr>
          <w:b/>
          <w:bCs/>
          <w:szCs w:val="20"/>
          <w:lang w:val="pt-BR"/>
        </w:rPr>
        <w:t xml:space="preserve">11.2.3. Durante o período de garantia, a contratada ficará obrigada a:</w:t>
      </w:r>
      <w:r>
        <w:rPr>
          <w:b/>
          <w:bCs/>
          <w:szCs w:val="20"/>
          <w:lang w:val="pt-BR"/>
        </w:rPr>
      </w:r>
    </w:p>
    <w:p>
      <w:pPr>
        <w:pStyle w:val="1099"/>
        <w:pBdr/>
        <w:spacing w:after="0" w:before="0"/>
        <w:ind/>
        <w:jc w:val="both"/>
        <w:rPr>
          <w:szCs w:val="20"/>
          <w:lang w:val="pt-BR"/>
        </w:rPr>
      </w:pPr>
      <w:r>
        <w:rPr>
          <w:b/>
          <w:bCs/>
          <w:szCs w:val="20"/>
          <w:lang w:val="pt-BR"/>
        </w:rPr>
        <w:t xml:space="preserve">a)</w:t>
      </w:r>
      <w:r>
        <w:rPr>
          <w:szCs w:val="20"/>
          <w:lang w:val="pt-BR"/>
        </w:rPr>
        <w:t xml:space="preserve"> Realizar manutenção corretiva integral;</w:t>
      </w:r>
      <w:r>
        <w:rPr>
          <w:szCs w:val="20"/>
          <w:lang w:val="pt-BR"/>
        </w:rPr>
      </w:r>
    </w:p>
    <w:p>
      <w:pPr>
        <w:pStyle w:val="1099"/>
        <w:pBdr/>
        <w:spacing w:after="0" w:before="0"/>
        <w:ind/>
        <w:jc w:val="both"/>
        <w:rPr>
          <w:szCs w:val="20"/>
          <w:lang w:val="pt-BR"/>
        </w:rPr>
      </w:pPr>
      <w:r>
        <w:rPr>
          <w:b/>
          <w:bCs/>
          <w:szCs w:val="20"/>
          <w:lang w:val="pt-BR"/>
        </w:rPr>
        <w:t xml:space="preserve">b) </w:t>
      </w:r>
      <w:r>
        <w:rPr>
          <w:szCs w:val="20"/>
          <w:lang w:val="pt-BR"/>
        </w:rPr>
        <w:t xml:space="preserve">Subs</w:t>
      </w:r>
      <w:r>
        <w:rPr>
          <w:szCs w:val="20"/>
          <w:lang w:val="pt-BR"/>
        </w:rPr>
        <w:t xml:space="preserve">tituir peças defeituosas por peças novas, originais ou homologadas pelo fabricante;</w:t>
      </w:r>
      <w:r>
        <w:rPr>
          <w:szCs w:val="20"/>
          <w:lang w:val="pt-BR"/>
        </w:rPr>
      </w:r>
    </w:p>
    <w:p>
      <w:pPr>
        <w:pStyle w:val="1099"/>
        <w:pBdr/>
        <w:spacing w:after="0" w:before="0"/>
        <w:ind/>
        <w:jc w:val="both"/>
        <w:rPr>
          <w:szCs w:val="20"/>
          <w:lang w:val="pt-BR"/>
        </w:rPr>
      </w:pPr>
      <w:r>
        <w:rPr>
          <w:b/>
          <w:bCs/>
          <w:szCs w:val="20"/>
          <w:lang w:val="pt-BR"/>
        </w:rPr>
        <w:t xml:space="preserve">c) </w:t>
      </w:r>
      <w:r>
        <w:rPr>
          <w:szCs w:val="20"/>
          <w:lang w:val="pt-BR"/>
        </w:rPr>
        <w:t xml:space="preserve">Proceder aos ajustes técnicos necessários ao pleno funcionamento do equipamento;</w:t>
      </w:r>
      <w:r>
        <w:rPr>
          <w:szCs w:val="20"/>
          <w:lang w:val="pt-BR"/>
        </w:rPr>
      </w:r>
    </w:p>
    <w:p>
      <w:pPr>
        <w:pStyle w:val="1099"/>
        <w:pBdr/>
        <w:spacing w:after="0" w:before="0"/>
        <w:ind/>
        <w:jc w:val="both"/>
        <w:rPr>
          <w:szCs w:val="20"/>
          <w:lang w:val="pt-BR"/>
        </w:rPr>
      </w:pPr>
      <w:r>
        <w:rPr>
          <w:b/>
          <w:bCs/>
          <w:szCs w:val="20"/>
          <w:lang w:val="pt-BR"/>
        </w:rPr>
        <w:t xml:space="preserve">d) </w:t>
      </w:r>
      <w:r>
        <w:rPr>
          <w:szCs w:val="20"/>
          <w:lang w:val="pt-BR"/>
        </w:rPr>
        <w:t xml:space="preserve">Arcar com todos os custos de transporte, retirada e devolução dos bens, quando necessário.</w:t>
      </w:r>
      <w:r>
        <w:rPr>
          <w:szCs w:val="20"/>
          <w:lang w:val="pt-BR"/>
        </w:rPr>
      </w:r>
    </w:p>
    <w:p>
      <w:pPr>
        <w:pStyle w:val="1099"/>
        <w:pBdr/>
        <w:spacing w:after="0" w:before="0"/>
        <w:ind/>
        <w:jc w:val="both"/>
        <w:rPr>
          <w:szCs w:val="20"/>
          <w:lang w:val="pt-BR"/>
        </w:rPr>
      </w:pPr>
      <w:r>
        <w:rPr>
          <w:b/>
          <w:bCs/>
          <w:szCs w:val="20"/>
          <w:lang w:val="pt-BR"/>
        </w:rPr>
        <w:t xml:space="preserve">11.2.4. </w:t>
      </w:r>
      <w:r>
        <w:rPr>
          <w:szCs w:val="20"/>
          <w:lang w:val="pt-BR"/>
        </w:rPr>
        <w:t xml:space="preserve">O prazo máximo para conclusão do reparo será de até 15 (quinze) dias úteis, contados da data do comparecimento técnico ou da retirada formal do equipamento para manutenção.</w:t>
      </w:r>
      <w:r>
        <w:rPr>
          <w:szCs w:val="20"/>
          <w:lang w:val="pt-BR"/>
        </w:rPr>
      </w:r>
    </w:p>
    <w:p>
      <w:pPr>
        <w:pStyle w:val="1099"/>
        <w:pBdr/>
        <w:spacing w:after="0" w:before="0"/>
        <w:ind/>
        <w:jc w:val="both"/>
        <w:rPr>
          <w:szCs w:val="20"/>
          <w:lang w:val="pt-BR"/>
        </w:rPr>
      </w:pPr>
      <w:r>
        <w:rPr>
          <w:b/>
          <w:bCs/>
          <w:szCs w:val="20"/>
          <w:lang w:val="pt-BR"/>
        </w:rPr>
        <w:t xml:space="preserve">11.2.5. </w:t>
      </w:r>
      <w:r>
        <w:rPr>
          <w:szCs w:val="20"/>
          <w:lang w:val="pt-BR"/>
        </w:rPr>
        <w:t xml:space="preserve">Ultrapassado o prazo previsto no subitem anterior, sem que o </w:t>
      </w:r>
      <w:r>
        <w:rPr>
          <w:szCs w:val="20"/>
          <w:lang w:val="pt-BR"/>
        </w:rPr>
        <w:t xml:space="preserve">reparo tenha sido concluído de forma definitiva e satisfatória, a cont</w:t>
      </w:r>
      <w:r>
        <w:rPr>
          <w:szCs w:val="20"/>
          <w:lang w:val="pt-BR"/>
        </w:rPr>
        <w:t xml:space="preserve">ratada deverá proceder à substituição definitiva do equipamento por outro novo, de primeiro uso, com especificações técnicas iguais ou superiores às originalmente contratadas, no prazo máximo de 10 (dez) dias úteis, sem ônus adicional para a Administração.</w:t>
      </w:r>
      <w:r>
        <w:rPr>
          <w:szCs w:val="20"/>
          <w:lang w:val="pt-BR"/>
        </w:rPr>
      </w:r>
    </w:p>
    <w:p>
      <w:pPr>
        <w:pStyle w:val="1099"/>
        <w:pBdr/>
        <w:spacing w:after="0" w:before="0"/>
        <w:ind/>
        <w:jc w:val="both"/>
        <w:rPr>
          <w:szCs w:val="20"/>
          <w:lang w:val="pt-BR"/>
        </w:rPr>
      </w:pPr>
      <w:r>
        <w:rPr>
          <w:b/>
          <w:bCs/>
          <w:szCs w:val="20"/>
          <w:lang w:val="pt-BR"/>
        </w:rPr>
        <w:t xml:space="preserve">11.2.6. </w:t>
      </w:r>
      <w:r>
        <w:rPr>
          <w:szCs w:val="20"/>
          <w:lang w:val="pt-BR"/>
        </w:rPr>
        <w:t xml:space="preserve">A substituição definitiva não prejudica eventual aplicação de sanções administrativas cabíveis em razão do descumprimento contratual, quando caracterizada culpa da contratada.</w:t>
      </w:r>
      <w:r>
        <w:rPr>
          <w:szCs w:val="20"/>
          <w:lang w:val="pt-BR"/>
        </w:rPr>
      </w:r>
    </w:p>
    <w:p>
      <w:pPr>
        <w:pStyle w:val="1099"/>
        <w:pBdr/>
        <w:spacing w:after="52" w:before="52" w:line="216" w:lineRule="auto"/>
        <w:ind/>
        <w:jc w:val="both"/>
        <w:rPr>
          <w:b/>
          <w:bCs/>
          <w:color w:val="000000"/>
          <w:szCs w:val="20"/>
          <w:lang w:val="pt-BR"/>
        </w:rPr>
      </w:pPr>
      <w:r>
        <w:rPr>
          <w:b/>
          <w:bCs/>
          <w:color w:val="000000"/>
          <w:szCs w:val="20"/>
          <w:lang w:val="pt-BR"/>
        </w:rPr>
        <w:t xml:space="preserve">1</w:t>
      </w:r>
      <w:r>
        <w:rPr>
          <w:b/>
          <w:bCs/>
          <w:color w:val="000000"/>
          <w:szCs w:val="20"/>
          <w:lang w:val="pt-BR"/>
        </w:rPr>
        <w:t xml:space="preserve">1.3. GARANTIA DOS MATERIAIS DE CONSUMO E INSUMOS</w:t>
      </w:r>
      <w:r>
        <w:rPr>
          <w:b/>
          <w:bCs/>
          <w:color w:val="000000"/>
          <w:szCs w:val="20"/>
          <w:lang w:val="pt-BR"/>
        </w:rPr>
      </w:r>
    </w:p>
    <w:p>
      <w:pPr>
        <w:pStyle w:val="1099"/>
        <w:pBdr/>
        <w:spacing w:after="52" w:before="52" w:line="216" w:lineRule="auto"/>
        <w:ind/>
        <w:jc w:val="both"/>
        <w:rPr>
          <w:szCs w:val="20"/>
          <w:lang w:val="pt-BR"/>
        </w:rPr>
      </w:pPr>
      <w:r>
        <w:rPr>
          <w:b/>
          <w:bCs/>
          <w:szCs w:val="20"/>
          <w:lang w:val="pt-BR"/>
        </w:rPr>
        <w:t xml:space="preserve">11.3.1. </w:t>
      </w:r>
      <w:r>
        <w:rPr>
          <w:szCs w:val="20"/>
          <w:lang w:val="pt-BR"/>
        </w:rPr>
        <w:t xml:space="preserve">Os materiais de consumo e insumos destinados à Marcen</w:t>
      </w:r>
      <w:r>
        <w:rPr>
          <w:szCs w:val="20"/>
          <w:lang w:val="pt-BR"/>
        </w:rPr>
        <w:t xml:space="preserve">aria deverão possuir garantia mínima de 90 (noventa) dias, contados do recebimento definitivo, contra defeitos de fabricação, vícios de qualidade, inadequação ao uso ou falhas decorrentes de acondicionamento e transporte sob responsabilidade da contratada.</w:t>
      </w:r>
      <w:r>
        <w:rPr>
          <w:szCs w:val="20"/>
          <w:lang w:val="pt-BR"/>
        </w:rPr>
      </w:r>
    </w:p>
    <w:p>
      <w:pPr>
        <w:pStyle w:val="1099"/>
        <w:pBdr/>
        <w:spacing w:after="52" w:before="52" w:line="216" w:lineRule="auto"/>
        <w:ind/>
        <w:jc w:val="both"/>
        <w:rPr>
          <w:szCs w:val="20"/>
          <w:lang w:val="pt-BR"/>
        </w:rPr>
      </w:pPr>
      <w:r>
        <w:rPr>
          <w:b/>
          <w:bCs/>
          <w:szCs w:val="20"/>
          <w:lang w:val="pt-BR"/>
        </w:rPr>
        <w:t xml:space="preserve">11.3.2. </w:t>
      </w:r>
      <w:r>
        <w:rPr>
          <w:szCs w:val="20"/>
          <w:lang w:val="pt-BR"/>
        </w:rPr>
        <w:t xml:space="preserve">A garantia não afasta a responsabilidade por vícios ocultos constatados posteriormente, quando comprovado que o defeito é originário do p</w:t>
      </w:r>
      <w:r>
        <w:rPr>
          <w:szCs w:val="20"/>
          <w:lang w:val="pt-BR"/>
        </w:rPr>
        <w:t xml:space="preserve">rocesso de fabricação ou fornecimento.</w:t>
      </w:r>
      <w:r>
        <w:rPr>
          <w:szCs w:val="20"/>
          <w:lang w:val="pt-BR"/>
        </w:rPr>
      </w:r>
    </w:p>
    <w:p>
      <w:pPr>
        <w:pStyle w:val="1099"/>
        <w:pBdr/>
        <w:spacing w:after="52" w:before="52" w:line="216" w:lineRule="auto"/>
        <w:ind/>
        <w:jc w:val="both"/>
        <w:rPr>
          <w:szCs w:val="20"/>
          <w:lang w:val="pt-BR"/>
        </w:rPr>
      </w:pPr>
      <w:r>
        <w:rPr>
          <w:b/>
          <w:bCs/>
          <w:szCs w:val="20"/>
          <w:lang w:val="pt-BR"/>
        </w:rPr>
        <w:t xml:space="preserve">11.3.3. </w:t>
      </w:r>
      <w:r>
        <w:rPr>
          <w:szCs w:val="20"/>
          <w:lang w:val="pt-BR"/>
        </w:rPr>
        <w:t xml:space="preserve">Os materiais que apresentarem defeitos deverão ser substituídos integralmente no prazo máximo de </w:t>
      </w:r>
      <w:r>
        <w:rPr>
          <w:szCs w:val="20"/>
          <w:lang w:val="pt-BR"/>
        </w:rPr>
        <w:t xml:space="preserve">1</w:t>
      </w:r>
      <w:r>
        <w:rPr>
          <w:szCs w:val="20"/>
          <w:lang w:val="pt-BR"/>
        </w:rPr>
        <w:t xml:space="preserve">0 (</w:t>
      </w:r>
      <w:r>
        <w:rPr>
          <w:szCs w:val="20"/>
          <w:lang w:val="pt-BR"/>
        </w:rPr>
        <w:t xml:space="preserve">dez</w:t>
      </w:r>
      <w:r>
        <w:rPr>
          <w:szCs w:val="20"/>
          <w:lang w:val="pt-BR"/>
        </w:rPr>
        <w:t xml:space="preserve">) dias úteis após notificação formal, sem quaisquer custos adicionais à Administração.</w:t>
      </w:r>
      <w:r>
        <w:rPr>
          <w:szCs w:val="20"/>
          <w:lang w:val="pt-BR"/>
        </w:rPr>
      </w:r>
    </w:p>
    <w:p>
      <w:pPr>
        <w:pStyle w:val="1099"/>
        <w:pBdr/>
        <w:spacing w:after="52" w:before="52" w:line="216" w:lineRule="auto"/>
        <w:ind/>
        <w:jc w:val="both"/>
        <w:rPr>
          <w:b/>
          <w:bCs/>
          <w:szCs w:val="20"/>
          <w:lang w:val="pt-BR"/>
        </w:rPr>
      </w:pPr>
      <w:r>
        <w:rPr>
          <w:b/>
          <w:bCs/>
          <w:szCs w:val="20"/>
          <w:lang w:val="pt-BR"/>
        </w:rPr>
        <w:t xml:space="preserve">11.4. CONDIÇÕES DE ASSISTÊNCIA TÉCNICA</w:t>
      </w:r>
      <w:r>
        <w:rPr>
          <w:b/>
          <w:bCs/>
          <w:szCs w:val="20"/>
          <w:lang w:val="pt-BR"/>
        </w:rPr>
      </w:r>
    </w:p>
    <w:p>
      <w:pPr>
        <w:pStyle w:val="1099"/>
        <w:pBdr/>
        <w:spacing w:after="52" w:before="52" w:line="216" w:lineRule="auto"/>
        <w:ind/>
        <w:jc w:val="both"/>
        <w:rPr>
          <w:szCs w:val="20"/>
          <w:lang w:val="pt-BR"/>
        </w:rPr>
      </w:pPr>
      <w:r>
        <w:rPr>
          <w:b/>
          <w:bCs/>
          <w:szCs w:val="20"/>
          <w:lang w:val="pt-BR"/>
        </w:rPr>
        <w:t xml:space="preserve">11.4.1. </w:t>
      </w:r>
      <w:r>
        <w:rPr>
          <w:szCs w:val="20"/>
          <w:lang w:val="pt-BR"/>
        </w:rPr>
        <w:t xml:space="preserve">A contratada deverá assegurar assistência técnica durante todo o período de garantia, mantendo canal de comunicação ágil e rede autorizada capaz de prestar o atendimento no local de instalação ou, caso seja necessária a retirad</w:t>
      </w:r>
      <w:r>
        <w:rPr>
          <w:szCs w:val="20"/>
          <w:lang w:val="pt-BR"/>
        </w:rPr>
        <w:t xml:space="preserve">a do bem, deve</w:t>
      </w:r>
      <w:r>
        <w:rPr>
          <w:szCs w:val="20"/>
          <w:lang w:val="pt-BR"/>
        </w:rPr>
        <w:t xml:space="preserve">rá arcar integralmente com todos os custos de frete e logística de transporte (ida e volta), garantindo o cumprimento dos tempos máximos de resposta estabelecidos neste Termo de Referência, independentemente do município sede da sua assistência autorizada.</w:t>
      </w:r>
      <w:r>
        <w:rPr>
          <w:szCs w:val="20"/>
          <w:lang w:val="pt-BR"/>
        </w:rPr>
      </w:r>
    </w:p>
    <w:p>
      <w:pPr>
        <w:pStyle w:val="1099"/>
        <w:pBdr/>
        <w:spacing w:after="52" w:before="52" w:line="216" w:lineRule="auto"/>
        <w:ind/>
        <w:jc w:val="both"/>
        <w:rPr>
          <w:szCs w:val="20"/>
          <w:lang w:val="pt-BR"/>
        </w:rPr>
      </w:pPr>
      <w:r>
        <w:rPr>
          <w:b/>
          <w:bCs/>
          <w:szCs w:val="20"/>
          <w:lang w:val="pt-BR"/>
        </w:rPr>
        <w:t xml:space="preserve">11.4.2. </w:t>
      </w:r>
      <w:r>
        <w:rPr>
          <w:szCs w:val="20"/>
          <w:lang w:val="pt-BR"/>
        </w:rPr>
        <w:t xml:space="preserve"> Para equipamentos de grande porte ou de difícil transporte, a assistência técnica deverá ocorrer obrigatoriamente no local de instalação, salvo impossibilidade técnica devidamente justificada.</w:t>
      </w:r>
      <w:r>
        <w:rPr>
          <w:szCs w:val="20"/>
          <w:lang w:val="pt-BR"/>
        </w:rPr>
      </w:r>
    </w:p>
    <w:p>
      <w:pPr>
        <w:pStyle w:val="1099"/>
        <w:pBdr/>
        <w:spacing w:after="52" w:before="52" w:line="216" w:lineRule="auto"/>
        <w:ind/>
        <w:jc w:val="both"/>
        <w:rPr>
          <w:szCs w:val="20"/>
          <w:lang w:val="pt-BR"/>
        </w:rPr>
      </w:pPr>
      <w:r>
        <w:rPr>
          <w:b/>
          <w:bCs/>
          <w:szCs w:val="20"/>
          <w:lang w:val="pt-BR"/>
        </w:rPr>
        <w:t xml:space="preserve">11.4.3. </w:t>
      </w:r>
      <w:r>
        <w:rPr>
          <w:szCs w:val="20"/>
          <w:lang w:val="pt-BR"/>
        </w:rPr>
        <w:t xml:space="preserve">O comparecimento técnico deverá</w:t>
      </w:r>
      <w:r>
        <w:rPr>
          <w:szCs w:val="20"/>
          <w:lang w:val="pt-BR"/>
        </w:rPr>
        <w:t xml:space="preserve"> ocorrer no prazo máximo de 48 (quarenta e oito) horas úteis após a abertura formal do chamado.</w:t>
      </w:r>
      <w:r>
        <w:rPr>
          <w:szCs w:val="20"/>
          <w:lang w:val="pt-BR"/>
        </w:rPr>
      </w:r>
    </w:p>
    <w:p>
      <w:pPr>
        <w:pStyle w:val="1099"/>
        <w:pBdr/>
        <w:spacing w:after="52" w:before="52" w:line="216" w:lineRule="auto"/>
        <w:ind/>
        <w:jc w:val="both"/>
        <w:rPr>
          <w:szCs w:val="20"/>
          <w:lang w:val="pt-BR"/>
        </w:rPr>
      </w:pPr>
      <w:r>
        <w:rPr>
          <w:b/>
          <w:bCs/>
          <w:szCs w:val="20"/>
          <w:lang w:val="pt-BR"/>
        </w:rPr>
        <w:t xml:space="preserve">11.4.4. </w:t>
      </w:r>
      <w:r>
        <w:rPr>
          <w:szCs w:val="20"/>
          <w:lang w:val="pt-BR"/>
        </w:rPr>
        <w:t xml:space="preserve">A contratada deverá disponibilizar canais formais de atendimento, assegurando registro protocolado das solicitações, que servirá como marco inicial para contagem dos prazos de atendimento e solução.</w:t>
      </w:r>
      <w:r>
        <w:rPr>
          <w:szCs w:val="20"/>
          <w:lang w:val="pt-BR"/>
        </w:rPr>
      </w:r>
    </w:p>
    <w:p>
      <w:pPr>
        <w:pStyle w:val="1099"/>
        <w:pBdr/>
        <w:spacing w:after="52" w:before="52" w:line="216" w:lineRule="auto"/>
        <w:ind/>
        <w:jc w:val="both"/>
        <w:rPr>
          <w:b/>
          <w:bCs/>
          <w:szCs w:val="20"/>
          <w:lang w:val="pt-BR"/>
        </w:rPr>
      </w:pPr>
      <w:r>
        <w:rPr>
          <w:b/>
          <w:bCs/>
          <w:szCs w:val="20"/>
          <w:lang w:val="pt-BR"/>
        </w:rPr>
        <w:t xml:space="preserve">11.5. DISPOSIÇÕES GERAIS SOBRE GARANTIA</w:t>
      </w:r>
      <w:r>
        <w:rPr>
          <w:b/>
          <w:bCs/>
          <w:szCs w:val="20"/>
          <w:lang w:val="pt-BR"/>
        </w:rPr>
      </w:r>
    </w:p>
    <w:p>
      <w:pPr>
        <w:pStyle w:val="1099"/>
        <w:pBdr/>
        <w:spacing w:after="52" w:before="52" w:line="216" w:lineRule="auto"/>
        <w:ind/>
        <w:jc w:val="both"/>
        <w:rPr>
          <w:szCs w:val="20"/>
          <w:lang w:val="pt-BR"/>
        </w:rPr>
      </w:pPr>
      <w:r>
        <w:rPr>
          <w:b/>
          <w:bCs/>
          <w:szCs w:val="20"/>
          <w:lang w:val="pt-BR"/>
        </w:rPr>
        <w:t xml:space="preserve">11.5.1. </w:t>
      </w:r>
      <w:r>
        <w:rPr>
          <w:szCs w:val="20"/>
          <w:lang w:val="pt-BR"/>
        </w:rPr>
        <w:t xml:space="preserve">A garantia técnica possui vigência própria e independente do prazo contratual, podendo ser exigida mesmo após o encerramento da vigência do contrato, desde que o</w:t>
      </w:r>
      <w:r>
        <w:rPr>
          <w:szCs w:val="20"/>
          <w:lang w:val="pt-BR"/>
        </w:rPr>
        <w:t xml:space="preserve"> defeito tenha se originado dentro do período de cobertura.</w:t>
      </w:r>
      <w:r>
        <w:rPr>
          <w:szCs w:val="20"/>
          <w:lang w:val="pt-BR"/>
        </w:rPr>
      </w:r>
    </w:p>
    <w:p>
      <w:pPr>
        <w:pStyle w:val="1099"/>
        <w:pBdr/>
        <w:spacing w:after="52" w:before="52" w:line="216" w:lineRule="auto"/>
        <w:ind/>
        <w:jc w:val="both"/>
        <w:rPr>
          <w:szCs w:val="20"/>
          <w:lang w:val="pt-BR"/>
        </w:rPr>
      </w:pPr>
      <w:r>
        <w:rPr>
          <w:b/>
          <w:bCs/>
          <w:szCs w:val="20"/>
          <w:lang w:val="pt-BR"/>
        </w:rPr>
        <w:t xml:space="preserve">11.5.2.</w:t>
      </w:r>
      <w:r>
        <w:rPr>
          <w:szCs w:val="20"/>
          <w:lang w:val="pt-BR"/>
        </w:rPr>
        <w:t xml:space="preserve"> O descumprimento das obrigações relacionadas à garantia poderá ensejar aplicação das penalidades previstas na Lei nº 14.133/2021 e no instrumento contratual, sem prejuízo do direito ao ressarcimento por eventuais danos causados à Administração.</w:t>
      </w:r>
      <w:r>
        <w:rPr>
          <w:szCs w:val="20"/>
          <w:lang w:val="pt-BR"/>
        </w:rPr>
      </w:r>
    </w:p>
    <w:p>
      <w:pPr>
        <w:pStyle w:val="1099"/>
        <w:pBdr/>
        <w:spacing w:after="52" w:before="52" w:line="216" w:lineRule="auto"/>
        <w:ind/>
        <w:jc w:val="both"/>
        <w:rPr>
          <w:b/>
          <w:bCs/>
          <w:szCs w:val="20"/>
          <w:highlight w:val="yellow"/>
          <w:lang w:val="pt-BR"/>
        </w:rPr>
      </w:pPr>
      <w:r>
        <w:rPr>
          <w:b/>
          <w:bCs/>
          <w:szCs w:val="20"/>
          <w:highlight w:val="yellow"/>
          <w:lang w:val="pt-BR"/>
        </w:rPr>
      </w:r>
      <w:r>
        <w:rPr>
          <w:b/>
          <w:bCs/>
          <w:szCs w:val="20"/>
          <w:highlight w:val="yellow"/>
          <w:lang w:val="pt-BR"/>
        </w:rPr>
      </w:r>
    </w:p>
    <w:p>
      <w:pPr>
        <w:pStyle w:val="828"/>
        <w:pBdr/>
        <w:shd w:val="clear" w:color="auto" w:fill="cccccc"/>
        <w:spacing/>
        <w:ind/>
        <w:jc w:val="both"/>
        <w:rPr/>
      </w:pPr>
      <w:r>
        <w:rPr>
          <w:b/>
          <w:bCs/>
        </w:rPr>
        <w:t xml:space="preserve">12 – ESPECIFICAÇÕES DO PRODUTO/SERVIÇO</w:t>
      </w:r>
      <w:r/>
    </w:p>
    <w:p>
      <w:pPr>
        <w:pStyle w:val="1099"/>
        <w:pBdr/>
        <w:spacing w:after="0" w:before="0"/>
        <w:ind/>
        <w:jc w:val="both"/>
        <w:rPr>
          <w:b/>
          <w:bCs/>
          <w:szCs w:val="20"/>
          <w:lang w:val="pt-BR"/>
        </w:rPr>
      </w:pPr>
      <w:r>
        <w:rPr>
          <w:b/>
          <w:bCs/>
          <w:szCs w:val="20"/>
          <w:lang w:val="pt-BR"/>
        </w:rPr>
        <w:br w:type="textWrapping" w:clear="all"/>
        <w:t xml:space="preserve">12.1. ADESIVO HOT MELT TERMOFUSÍVEL (COLA GRANULADA)</w:t>
      </w:r>
      <w:r>
        <w:rPr>
          <w:b/>
          <w:bCs/>
          <w:szCs w:val="20"/>
          <w:lang w:val="pt-BR"/>
        </w:rPr>
      </w:r>
    </w:p>
    <w:p>
      <w:pPr>
        <w:pStyle w:val="1099"/>
        <w:pBdr/>
        <w:spacing w:after="0" w:before="0"/>
        <w:ind/>
        <w:jc w:val="both"/>
        <w:rPr>
          <w:szCs w:val="20"/>
          <w:lang w:val="pt-BR"/>
        </w:rPr>
      </w:pPr>
      <w:r>
        <w:rPr>
          <w:b/>
          <w:bCs/>
          <w:szCs w:val="20"/>
          <w:lang w:val="pt-BR"/>
        </w:rPr>
        <w:t xml:space="preserve">12.1.1. </w:t>
      </w:r>
      <w:r>
        <w:rPr>
          <w:szCs w:val="20"/>
          <w:lang w:val="pt-BR"/>
        </w:rPr>
        <w:t xml:space="preserve">Adesivo hot melt termofusível (cola granulada), acondicionado em embalagem contendo 2,5 kg, cor b</w:t>
      </w:r>
      <w:r>
        <w:rPr>
          <w:szCs w:val="20"/>
          <w:lang w:val="pt-BR"/>
        </w:rPr>
        <w:t xml:space="preserve">ranca, ou de qualidade superior.</w:t>
      </w:r>
      <w:r>
        <w:rPr>
          <w:szCs w:val="20"/>
          <w:lang w:val="pt-BR"/>
        </w:rPr>
      </w:r>
    </w:p>
    <w:p>
      <w:pPr>
        <w:pStyle w:val="1099"/>
        <w:pBdr/>
        <w:spacing w:after="0" w:before="0"/>
        <w:ind/>
        <w:jc w:val="both"/>
        <w:rPr>
          <w:szCs w:val="20"/>
          <w:lang w:val="pt-BR"/>
        </w:rPr>
      </w:pPr>
      <w:r>
        <w:rPr>
          <w:b/>
          <w:bCs/>
          <w:szCs w:val="20"/>
          <w:lang w:val="pt-BR"/>
        </w:rPr>
        <w:t xml:space="preserve">12.1.2.</w:t>
      </w:r>
      <w:r>
        <w:rPr>
          <w:szCs w:val="20"/>
          <w:lang w:val="pt-BR"/>
        </w:rPr>
        <w:t xml:space="preserve"> Composição mínima à base de EVA (etileno-vinil-acetato), resinas sintéticas e aditivos.</w:t>
      </w:r>
      <w:r>
        <w:rPr>
          <w:szCs w:val="20"/>
          <w:lang w:val="pt-BR"/>
        </w:rPr>
      </w:r>
    </w:p>
    <w:p>
      <w:pPr>
        <w:pStyle w:val="1099"/>
        <w:pBdr/>
        <w:spacing w:after="0" w:before="0"/>
        <w:ind/>
        <w:jc w:val="both"/>
        <w:rPr>
          <w:szCs w:val="20"/>
          <w:lang w:val="pt-BR"/>
        </w:rPr>
      </w:pPr>
      <w:r>
        <w:rPr>
          <w:b/>
          <w:bCs/>
          <w:szCs w:val="20"/>
          <w:lang w:val="pt-BR"/>
        </w:rPr>
        <w:t xml:space="preserve">12.1.3.</w:t>
      </w:r>
      <w:r>
        <w:rPr>
          <w:szCs w:val="20"/>
          <w:lang w:val="pt-BR"/>
        </w:rPr>
        <w:t xml:space="preserve"> Indicado para uso em coladeiras de borda, compatível com aplicação em bordos de PVC, ABS, papel, lâminas de madeira e laminados melamínicos, sobre MDF, MDP, aglomerado, madeira ou compensado.</w:t>
      </w:r>
      <w:r>
        <w:rPr>
          <w:szCs w:val="20"/>
          <w:lang w:val="pt-BR"/>
        </w:rPr>
      </w:r>
    </w:p>
    <w:p>
      <w:pPr>
        <w:pStyle w:val="1099"/>
        <w:pBdr/>
        <w:spacing w:after="0" w:before="0"/>
        <w:ind/>
        <w:jc w:val="both"/>
        <w:rPr>
          <w:szCs w:val="20"/>
          <w:lang w:val="pt-BR"/>
        </w:rPr>
      </w:pPr>
      <w:r>
        <w:rPr>
          <w:b/>
          <w:bCs/>
          <w:szCs w:val="20"/>
          <w:lang w:val="pt-BR"/>
        </w:rPr>
        <w:t xml:space="preserve">12.1.4.</w:t>
      </w:r>
      <w:r>
        <w:rPr>
          <w:szCs w:val="20"/>
          <w:lang w:val="pt-BR"/>
        </w:rPr>
        <w:t xml:space="preserve"> Deverá possuir temperatura de aplicação compatível com equipamentos de baixa e média velocidade, assegurando adequada fusão, aderência e acabamento no uso profissional.</w:t>
      </w:r>
      <w:r>
        <w:rPr>
          <w:szCs w:val="20"/>
          <w:lang w:val="pt-BR"/>
        </w:rPr>
      </w:r>
    </w:p>
    <w:p>
      <w:pPr>
        <w:pStyle w:val="1099"/>
        <w:pBdr/>
        <w:spacing w:after="0" w:before="0"/>
        <w:ind/>
        <w:jc w:val="both"/>
        <w:rPr>
          <w:b/>
          <w:bCs/>
          <w:szCs w:val="20"/>
          <w:lang w:val="pt-BR"/>
        </w:rPr>
      </w:pPr>
      <w:r>
        <w:rPr>
          <w:b/>
          <w:bCs/>
          <w:szCs w:val="20"/>
          <w:lang w:val="pt-BR"/>
        </w:rPr>
        <w:t xml:space="preserve">12.2. </w:t>
      </w:r>
      <w:r>
        <w:rPr>
          <w:b/>
          <w:bCs/>
          <w:szCs w:val="20"/>
          <w:lang w:val="pt-BR"/>
        </w:rPr>
        <w:t xml:space="preserve">CANTONEIRA REFORÇADA DE METAL EM “L” COM CAPA PLÁSTICA</w:t>
      </w:r>
      <w:r>
        <w:rPr>
          <w:b/>
          <w:bCs/>
          <w:szCs w:val="20"/>
          <w:lang w:val="pt-BR"/>
        </w:rPr>
      </w:r>
    </w:p>
    <w:p>
      <w:pPr>
        <w:pStyle w:val="1099"/>
        <w:pBdr/>
        <w:spacing w:after="0" w:before="0"/>
        <w:ind/>
        <w:jc w:val="both"/>
        <w:rPr>
          <w:szCs w:val="20"/>
          <w:lang w:val="pt-BR"/>
        </w:rPr>
      </w:pPr>
      <w:r>
        <w:rPr>
          <w:b/>
          <w:bCs/>
          <w:szCs w:val="20"/>
          <w:lang w:val="pt-BR"/>
        </w:rPr>
        <w:t xml:space="preserve">12.2.1. </w:t>
      </w:r>
      <w:r>
        <w:rPr>
          <w:szCs w:val="20"/>
          <w:lang w:val="pt-BR"/>
        </w:rPr>
        <w:t xml:space="preserve">Cantoneira reforçada de metal em “L”, confeccionada em metal zincado, com capa plástica branca, ou de qualidade superior.</w:t>
      </w:r>
      <w:r>
        <w:rPr>
          <w:szCs w:val="20"/>
          <w:lang w:val="pt-BR"/>
        </w:rPr>
      </w:r>
    </w:p>
    <w:p>
      <w:pPr>
        <w:pStyle w:val="1099"/>
        <w:pBdr/>
        <w:spacing w:after="0" w:before="0"/>
        <w:ind/>
        <w:jc w:val="both"/>
        <w:rPr>
          <w:szCs w:val="20"/>
          <w:lang w:val="pt-BR"/>
        </w:rPr>
      </w:pPr>
      <w:r>
        <w:rPr>
          <w:b/>
          <w:bCs/>
          <w:szCs w:val="20"/>
          <w:lang w:val="pt-BR"/>
        </w:rPr>
        <w:t xml:space="preserve">12.2.2.</w:t>
      </w:r>
      <w:r>
        <w:rPr>
          <w:szCs w:val="20"/>
          <w:lang w:val="pt-BR"/>
        </w:rPr>
        <w:t xml:space="preserve"> Dimensões aproximadas de 30 mm x 30 mm x 52 mm (altura x largura x comprimento).</w:t>
      </w:r>
      <w:r>
        <w:rPr>
          <w:szCs w:val="20"/>
          <w:lang w:val="pt-BR"/>
        </w:rPr>
      </w:r>
    </w:p>
    <w:p>
      <w:pPr>
        <w:pStyle w:val="1099"/>
        <w:pBdr/>
        <w:spacing w:after="0" w:before="0"/>
        <w:ind/>
        <w:jc w:val="both"/>
        <w:rPr>
          <w:szCs w:val="20"/>
          <w:lang w:val="pt-BR"/>
        </w:rPr>
      </w:pPr>
      <w:r>
        <w:rPr>
          <w:b/>
          <w:bCs/>
          <w:szCs w:val="20"/>
          <w:lang w:val="pt-BR"/>
        </w:rPr>
        <w:t xml:space="preserve">12.2.3. </w:t>
      </w:r>
      <w:r>
        <w:rPr>
          <w:szCs w:val="20"/>
          <w:lang w:val="pt-BR"/>
        </w:rPr>
        <w:t xml:space="preserve">Deverá possuir 04 (quatro) furos para fixação, garantindo firmeza, estabilidade e adequado apoio estrutural em móveis e peças de marcenaria.</w:t>
      </w:r>
      <w:r>
        <w:rPr>
          <w:szCs w:val="20"/>
          <w:lang w:val="pt-BR"/>
        </w:rPr>
      </w:r>
    </w:p>
    <w:p>
      <w:pPr>
        <w:pStyle w:val="1099"/>
        <w:pBdr/>
        <w:spacing w:after="0" w:before="0"/>
        <w:ind/>
        <w:jc w:val="both"/>
        <w:rPr>
          <w:szCs w:val="20"/>
          <w:lang w:val="pt-BR"/>
        </w:rPr>
      </w:pPr>
      <w:r>
        <w:rPr>
          <w:b/>
          <w:bCs/>
          <w:szCs w:val="20"/>
          <w:lang w:val="pt-BR"/>
        </w:rPr>
        <w:t xml:space="preserve">12.2.4. </w:t>
      </w:r>
      <w:r>
        <w:rPr>
          <w:szCs w:val="20"/>
          <w:lang w:val="pt-BR"/>
        </w:rPr>
        <w:t xml:space="preserve">O produto deverá apresentar acabamento uniforme, resistência mecânica compatível </w:t>
      </w:r>
      <w:r>
        <w:rPr>
          <w:szCs w:val="20"/>
          <w:lang w:val="pt-BR"/>
        </w:rPr>
        <w:t xml:space="preserve">com a aplicação e ausência de rebarbas ou deformações.</w:t>
      </w:r>
      <w:r>
        <w:rPr>
          <w:szCs w:val="20"/>
          <w:lang w:val="pt-BR"/>
        </w:rPr>
      </w:r>
    </w:p>
    <w:p>
      <w:pPr>
        <w:pStyle w:val="1099"/>
        <w:pBdr/>
        <w:spacing w:after="0" w:before="0"/>
        <w:ind/>
        <w:jc w:val="both"/>
        <w:rPr>
          <w:b/>
          <w:bCs/>
          <w:szCs w:val="20"/>
          <w:lang w:val="pt-BR"/>
        </w:rPr>
      </w:pPr>
      <w:r>
        <w:rPr>
          <w:b/>
          <w:bCs/>
          <w:szCs w:val="20"/>
          <w:lang w:val="pt-BR"/>
        </w:rPr>
        <w:t xml:space="preserve">12.3. CANTONEIRA TIPO L</w:t>
      </w:r>
      <w:r>
        <w:rPr>
          <w:b/>
          <w:bCs/>
          <w:szCs w:val="20"/>
          <w:lang w:val="pt-BR"/>
        </w:rPr>
      </w:r>
    </w:p>
    <w:p>
      <w:pPr>
        <w:pStyle w:val="1099"/>
        <w:pBdr/>
        <w:spacing w:after="0" w:before="0"/>
        <w:ind/>
        <w:jc w:val="both"/>
        <w:rPr>
          <w:szCs w:val="20"/>
          <w:lang w:val="pt-BR"/>
        </w:rPr>
      </w:pPr>
      <w:r>
        <w:rPr>
          <w:b/>
          <w:bCs/>
          <w:szCs w:val="20"/>
          <w:lang w:val="pt-BR"/>
        </w:rPr>
        <w:t xml:space="preserve">12.3.1.</w:t>
      </w:r>
      <w:r>
        <w:rPr>
          <w:szCs w:val="20"/>
          <w:lang w:val="pt-BR"/>
        </w:rPr>
        <w:t xml:space="preserve"> Cantoneira tipo “L”, maciça, confeccionada em zamac, dimensões mínimas de 13 x 13 mm, acabamento niquelado, cor níquel, ou de qualidade superior.</w:t>
      </w:r>
      <w:r>
        <w:rPr>
          <w:szCs w:val="20"/>
          <w:lang w:val="pt-BR"/>
        </w:rPr>
      </w:r>
    </w:p>
    <w:p>
      <w:pPr>
        <w:pStyle w:val="1099"/>
        <w:pBdr/>
        <w:spacing w:after="0" w:before="0"/>
        <w:ind/>
        <w:jc w:val="both"/>
        <w:rPr>
          <w:szCs w:val="20"/>
          <w:lang w:val="pt-BR"/>
        </w:rPr>
      </w:pPr>
      <w:r>
        <w:rPr>
          <w:b/>
          <w:bCs/>
          <w:szCs w:val="20"/>
          <w:lang w:val="pt-BR"/>
        </w:rPr>
        <w:t xml:space="preserve">12.3.2. </w:t>
      </w:r>
      <w:r>
        <w:rPr>
          <w:szCs w:val="20"/>
          <w:lang w:val="pt-BR"/>
        </w:rPr>
        <w:t xml:space="preserve">Deverá possuir 02 (dois) furos escareados para fixação com parafusos, garantindo perfeito assentamento e alinhamento da peça.</w:t>
      </w:r>
      <w:r>
        <w:rPr>
          <w:szCs w:val="20"/>
          <w:lang w:val="pt-BR"/>
        </w:rPr>
      </w:r>
    </w:p>
    <w:p>
      <w:pPr>
        <w:pStyle w:val="1099"/>
        <w:pBdr/>
        <w:spacing w:after="0" w:before="0"/>
        <w:ind/>
        <w:jc w:val="both"/>
        <w:rPr>
          <w:szCs w:val="20"/>
          <w:lang w:val="pt-BR"/>
        </w:rPr>
      </w:pPr>
      <w:r>
        <w:rPr>
          <w:b/>
          <w:bCs/>
          <w:szCs w:val="20"/>
          <w:lang w:val="pt-BR"/>
        </w:rPr>
        <w:t xml:space="preserve">12.3.3. </w:t>
      </w:r>
      <w:r>
        <w:rPr>
          <w:szCs w:val="20"/>
          <w:lang w:val="pt-BR"/>
        </w:rPr>
        <w:t xml:space="preserve">Capacidade mínima de carga estática de 25 kg por unidade, sem deformação permanente, ou de qualidade superior.</w:t>
      </w:r>
      <w:r>
        <w:rPr>
          <w:szCs w:val="20"/>
          <w:lang w:val="pt-BR"/>
        </w:rPr>
      </w:r>
    </w:p>
    <w:p>
      <w:pPr>
        <w:pStyle w:val="1099"/>
        <w:pBdr/>
        <w:spacing w:after="0" w:before="0"/>
        <w:ind/>
        <w:jc w:val="both"/>
        <w:rPr>
          <w:szCs w:val="20"/>
          <w:lang w:val="pt-BR"/>
        </w:rPr>
      </w:pPr>
      <w:r>
        <w:rPr>
          <w:b/>
          <w:bCs/>
          <w:szCs w:val="20"/>
          <w:lang w:val="pt-BR"/>
        </w:rPr>
        <w:t xml:space="preserve">12.3.4.</w:t>
      </w:r>
      <w:r>
        <w:rPr>
          <w:szCs w:val="20"/>
          <w:lang w:val="pt-BR"/>
        </w:rPr>
        <w:t xml:space="preserve"> Embalagem contendo</w:t>
      </w:r>
      <w:r>
        <w:rPr>
          <w:szCs w:val="20"/>
          <w:lang w:val="pt-BR"/>
        </w:rPr>
        <w:t xml:space="preserve"> 100 (cem) unidades, devidamente identificadas com fabricante, lote e especificações técnicas.</w:t>
      </w:r>
      <w:r>
        <w:rPr>
          <w:szCs w:val="20"/>
          <w:lang w:val="pt-BR"/>
        </w:rPr>
      </w:r>
    </w:p>
    <w:p>
      <w:pPr>
        <w:pStyle w:val="1099"/>
        <w:pBdr/>
        <w:spacing w:after="0" w:before="0"/>
        <w:ind/>
        <w:jc w:val="both"/>
        <w:rPr>
          <w:b/>
          <w:bCs/>
          <w:szCs w:val="20"/>
          <w:lang w:val="pt-BR"/>
        </w:rPr>
      </w:pPr>
      <w:r>
        <w:rPr>
          <w:b/>
          <w:bCs/>
          <w:szCs w:val="20"/>
          <w:lang w:val="pt-BR"/>
        </w:rPr>
        <w:t xml:space="preserve">12.4. CHAPA DE COMPENSADO LAMINADO VIROLA</w:t>
      </w:r>
      <w:r>
        <w:rPr>
          <w:b/>
          <w:bCs/>
          <w:szCs w:val="20"/>
          <w:lang w:val="pt-BR"/>
        </w:rPr>
      </w:r>
    </w:p>
    <w:p>
      <w:pPr>
        <w:pStyle w:val="1099"/>
        <w:pBdr/>
        <w:spacing w:after="0" w:before="0"/>
        <w:ind/>
        <w:jc w:val="both"/>
        <w:rPr>
          <w:szCs w:val="20"/>
          <w:lang w:val="pt-BR"/>
        </w:rPr>
      </w:pPr>
      <w:r>
        <w:rPr>
          <w:b/>
          <w:bCs/>
          <w:szCs w:val="20"/>
          <w:lang w:val="pt-BR"/>
        </w:rPr>
        <w:t xml:space="preserve">12.4.1. </w:t>
      </w:r>
      <w:r>
        <w:rPr>
          <w:szCs w:val="20"/>
          <w:lang w:val="pt-BR"/>
        </w:rPr>
        <w:t xml:space="preserve">Chapa de compensado laminado virola torneado, com espessura mínima de 15 mm, dimensões mínimas de 2,20 x 1,60 metros (comprimento x largura), ou de qualidade superior.</w:t>
      </w:r>
      <w:r>
        <w:rPr>
          <w:szCs w:val="20"/>
          <w:lang w:val="pt-BR"/>
        </w:rPr>
      </w:r>
    </w:p>
    <w:p>
      <w:pPr>
        <w:pStyle w:val="1099"/>
        <w:pBdr/>
        <w:spacing w:after="0" w:before="0"/>
        <w:ind/>
        <w:jc w:val="both"/>
        <w:rPr>
          <w:szCs w:val="20"/>
          <w:lang w:val="pt-BR"/>
        </w:rPr>
      </w:pPr>
      <w:r>
        <w:rPr>
          <w:b/>
          <w:bCs/>
          <w:szCs w:val="20"/>
          <w:lang w:val="pt-BR"/>
        </w:rPr>
        <w:t xml:space="preserve">12.4.2.</w:t>
      </w:r>
      <w:r>
        <w:rPr>
          <w:szCs w:val="20"/>
          <w:lang w:val="pt-BR"/>
        </w:rPr>
        <w:t xml:space="preserve"> Lâmina de revestimento externo em virola, com miolo em madeira tipo bajão e estrutura em compensado laminado colado sob pressão.</w:t>
      </w:r>
      <w:r>
        <w:rPr>
          <w:szCs w:val="20"/>
          <w:lang w:val="pt-BR"/>
        </w:rPr>
      </w:r>
    </w:p>
    <w:p>
      <w:pPr>
        <w:pStyle w:val="1099"/>
        <w:pBdr/>
        <w:spacing w:after="0" w:before="0"/>
        <w:ind/>
        <w:jc w:val="both"/>
        <w:rPr>
          <w:szCs w:val="20"/>
          <w:lang w:val="pt-BR"/>
        </w:rPr>
      </w:pPr>
      <w:r>
        <w:rPr>
          <w:b/>
          <w:bCs/>
          <w:szCs w:val="20"/>
          <w:lang w:val="pt-BR"/>
        </w:rPr>
        <w:t xml:space="preserve">12.4.3. </w:t>
      </w:r>
      <w:r>
        <w:rPr>
          <w:szCs w:val="20"/>
          <w:lang w:val="pt-BR"/>
        </w:rPr>
        <w:t xml:space="preserve">Deverá apresentar superfície uniforme, sem empenamento</w:t>
      </w:r>
      <w:r>
        <w:rPr>
          <w:szCs w:val="20"/>
          <w:lang w:val="pt-BR"/>
        </w:rPr>
        <w:t xml:space="preserve">s, delaminações, rachaduras ou falhas estruturais.</w:t>
      </w:r>
      <w:r>
        <w:rPr>
          <w:szCs w:val="20"/>
          <w:lang w:val="pt-BR"/>
        </w:rPr>
      </w:r>
    </w:p>
    <w:p>
      <w:pPr>
        <w:pStyle w:val="1099"/>
        <w:pBdr/>
        <w:spacing w:after="0" w:before="0"/>
        <w:ind/>
        <w:jc w:val="both"/>
        <w:rPr>
          <w:b/>
          <w:bCs/>
          <w:szCs w:val="20"/>
          <w:lang w:val="pt-BR"/>
        </w:rPr>
      </w:pPr>
      <w:r>
        <w:rPr>
          <w:b/>
          <w:bCs/>
          <w:szCs w:val="20"/>
          <w:lang w:val="pt-BR"/>
        </w:rPr>
        <w:t xml:space="preserve">12.5. COLA DE CONTATO</w:t>
      </w:r>
      <w:r>
        <w:rPr>
          <w:b/>
          <w:bCs/>
          <w:szCs w:val="20"/>
          <w:lang w:val="pt-BR"/>
        </w:rPr>
      </w:r>
    </w:p>
    <w:p>
      <w:pPr>
        <w:pStyle w:val="1099"/>
        <w:pBdr/>
        <w:spacing w:after="0" w:before="0"/>
        <w:ind/>
        <w:jc w:val="both"/>
        <w:rPr>
          <w:szCs w:val="20"/>
          <w:lang w:val="pt-BR"/>
        </w:rPr>
      </w:pPr>
      <w:r>
        <w:rPr>
          <w:b/>
          <w:bCs/>
          <w:szCs w:val="20"/>
          <w:lang w:val="pt-BR"/>
        </w:rPr>
        <w:t xml:space="preserve">12.5.1. </w:t>
      </w:r>
      <w:r>
        <w:rPr>
          <w:szCs w:val="20"/>
          <w:lang w:val="pt-BR"/>
        </w:rPr>
        <w:t xml:space="preserve">Adesivo de contato acondicionado em embalagem contendo no mínimo 2,8 kg, ou de qualidade superior.</w:t>
      </w:r>
      <w:r>
        <w:rPr>
          <w:szCs w:val="20"/>
          <w:lang w:val="pt-BR"/>
        </w:rPr>
      </w:r>
    </w:p>
    <w:p>
      <w:pPr>
        <w:pStyle w:val="1099"/>
        <w:pBdr/>
        <w:spacing w:after="0" w:before="0"/>
        <w:ind/>
        <w:jc w:val="both"/>
        <w:rPr>
          <w:szCs w:val="20"/>
          <w:lang w:val="pt-BR"/>
        </w:rPr>
      </w:pPr>
      <w:r>
        <w:rPr>
          <w:b/>
          <w:bCs/>
          <w:szCs w:val="20"/>
          <w:lang w:val="pt-BR"/>
        </w:rPr>
        <w:t xml:space="preserve">12.5.2.</w:t>
      </w:r>
      <w:r>
        <w:rPr>
          <w:szCs w:val="20"/>
          <w:lang w:val="pt-BR"/>
        </w:rPr>
        <w:t xml:space="preserve"> Composição mínima: borracha de policloropreno, resinas sintéticas, solventes aromáticos e alifáticos.</w:t>
      </w:r>
      <w:r>
        <w:rPr>
          <w:szCs w:val="20"/>
          <w:lang w:val="pt-BR"/>
        </w:rPr>
      </w:r>
    </w:p>
    <w:p>
      <w:pPr>
        <w:pStyle w:val="1099"/>
        <w:pBdr/>
        <w:spacing w:after="0" w:before="0"/>
        <w:ind/>
        <w:jc w:val="both"/>
        <w:rPr>
          <w:szCs w:val="20"/>
          <w:lang w:val="pt-BR"/>
        </w:rPr>
      </w:pPr>
      <w:r>
        <w:rPr>
          <w:b/>
          <w:bCs/>
          <w:szCs w:val="20"/>
          <w:lang w:val="pt-BR"/>
        </w:rPr>
        <w:t xml:space="preserve">12.5.3. </w:t>
      </w:r>
      <w:r>
        <w:rPr>
          <w:szCs w:val="20"/>
          <w:lang w:val="pt-BR"/>
        </w:rPr>
        <w:t xml:space="preserve">Indicado para colagem de laminados, madeira, MDF, compensados e materiais similares, com alto poder de adesão e secagem adequada ao uso profissional.</w:t>
      </w:r>
      <w:r>
        <w:rPr>
          <w:szCs w:val="20"/>
          <w:lang w:val="pt-BR"/>
        </w:rPr>
      </w:r>
    </w:p>
    <w:p>
      <w:pPr>
        <w:pStyle w:val="1099"/>
        <w:pBdr/>
        <w:spacing w:after="0" w:before="0"/>
        <w:ind/>
        <w:jc w:val="both"/>
        <w:rPr>
          <w:b/>
          <w:bCs/>
          <w:szCs w:val="20"/>
          <w:lang w:val="pt-BR"/>
        </w:rPr>
      </w:pPr>
      <w:r>
        <w:rPr>
          <w:b/>
          <w:bCs/>
          <w:szCs w:val="20"/>
          <w:lang w:val="pt-BR"/>
        </w:rPr>
        <w:t xml:space="preserve">12.6. COLA INSTANTÂNEA PARA MARCENEIRO</w:t>
      </w:r>
      <w:r>
        <w:rPr>
          <w:b/>
          <w:bCs/>
          <w:szCs w:val="20"/>
          <w:lang w:val="pt-BR"/>
        </w:rPr>
      </w:r>
    </w:p>
    <w:p>
      <w:pPr>
        <w:pStyle w:val="1099"/>
        <w:pBdr/>
        <w:spacing w:after="0" w:before="0"/>
        <w:ind/>
        <w:jc w:val="both"/>
        <w:rPr>
          <w:szCs w:val="20"/>
          <w:lang w:val="pt-BR"/>
        </w:rPr>
      </w:pPr>
      <w:r>
        <w:rPr>
          <w:b/>
          <w:bCs/>
          <w:szCs w:val="20"/>
          <w:lang w:val="pt-BR"/>
        </w:rPr>
        <w:t xml:space="preserve">12.6.1. </w:t>
      </w:r>
      <w:r>
        <w:rPr>
          <w:szCs w:val="20"/>
          <w:lang w:val="pt-BR"/>
        </w:rPr>
        <w:t xml:space="preserve">Adesivo instantân</w:t>
      </w:r>
      <w:r>
        <w:rPr>
          <w:szCs w:val="20"/>
          <w:lang w:val="pt-BR"/>
        </w:rPr>
        <w:t xml:space="preserve">eo multiuso, média viscosidade, alta resistência, composição à base de cianoacrilato, cor transparente, ou de qualidade superior.</w:t>
      </w:r>
      <w:r>
        <w:rPr>
          <w:szCs w:val="20"/>
          <w:lang w:val="pt-BR"/>
        </w:rPr>
      </w:r>
    </w:p>
    <w:p>
      <w:pPr>
        <w:pStyle w:val="1099"/>
        <w:pBdr/>
        <w:spacing w:after="0" w:before="0"/>
        <w:ind/>
        <w:jc w:val="both"/>
        <w:rPr>
          <w:szCs w:val="20"/>
          <w:lang w:val="pt-BR"/>
        </w:rPr>
      </w:pPr>
      <w:r>
        <w:rPr>
          <w:b/>
          <w:bCs/>
          <w:szCs w:val="20"/>
          <w:lang w:val="pt-BR"/>
        </w:rPr>
        <w:t xml:space="preserve">12.6.2.</w:t>
      </w:r>
      <w:r>
        <w:rPr>
          <w:szCs w:val="20"/>
          <w:lang w:val="pt-BR"/>
        </w:rPr>
        <w:t xml:space="preserve"> Embalagem de 100 g, com bico aplicador e pino metálico antiobstrução.</w:t>
      </w:r>
      <w:r>
        <w:rPr>
          <w:szCs w:val="20"/>
          <w:lang w:val="pt-BR"/>
        </w:rPr>
      </w:r>
    </w:p>
    <w:p>
      <w:pPr>
        <w:pStyle w:val="1099"/>
        <w:pBdr/>
        <w:spacing w:after="0" w:before="0"/>
        <w:ind/>
        <w:jc w:val="both"/>
        <w:rPr>
          <w:szCs w:val="20"/>
          <w:lang w:val="pt-BR"/>
        </w:rPr>
      </w:pPr>
      <w:r>
        <w:rPr>
          <w:b/>
          <w:bCs/>
          <w:szCs w:val="20"/>
          <w:lang w:val="pt-BR"/>
        </w:rPr>
        <w:t xml:space="preserve">12.6.3. </w:t>
      </w:r>
      <w:r>
        <w:rPr>
          <w:szCs w:val="20"/>
          <w:lang w:val="pt-BR"/>
        </w:rPr>
        <w:t xml:space="preserve">Indicado para aplicação em madeiras, MDF, MDP, compensados, metais e plásticos.</w:t>
      </w:r>
      <w:r>
        <w:rPr>
          <w:szCs w:val="20"/>
          <w:lang w:val="pt-BR"/>
        </w:rPr>
      </w:r>
    </w:p>
    <w:p>
      <w:pPr>
        <w:pStyle w:val="1099"/>
        <w:pBdr/>
        <w:spacing w:after="0" w:before="0"/>
        <w:ind/>
        <w:jc w:val="both"/>
        <w:rPr>
          <w:b/>
          <w:bCs/>
          <w:szCs w:val="20"/>
          <w:lang w:val="pt-BR"/>
        </w:rPr>
      </w:pPr>
      <w:r>
        <w:rPr>
          <w:b/>
          <w:bCs/>
          <w:szCs w:val="20"/>
          <w:lang w:val="pt-BR"/>
        </w:rPr>
        <w:t xml:space="preserve">12.7. COLADEIRA DE BORDA PORTÁTIL</w:t>
      </w:r>
      <w:r>
        <w:rPr>
          <w:b/>
          <w:bCs/>
          <w:szCs w:val="20"/>
          <w:lang w:val="pt-BR"/>
        </w:rPr>
      </w:r>
    </w:p>
    <w:p>
      <w:pPr>
        <w:pStyle w:val="1099"/>
        <w:pBdr/>
        <w:spacing w:after="0" w:before="0"/>
        <w:ind/>
        <w:jc w:val="both"/>
        <w:rPr>
          <w:szCs w:val="20"/>
          <w:lang w:val="pt-BR"/>
        </w:rPr>
      </w:pPr>
      <w:r>
        <w:rPr>
          <w:b/>
          <w:bCs/>
          <w:szCs w:val="20"/>
          <w:lang w:val="pt-BR"/>
        </w:rPr>
        <w:t xml:space="preserve">12.7.1.</w:t>
      </w:r>
      <w:r>
        <w:rPr>
          <w:szCs w:val="20"/>
          <w:lang w:val="pt-BR"/>
        </w:rPr>
        <w:t xml:space="preserve"> Equipamento portátil/móvel para colagem de fitas de borda em PVC, ABS, papel ou madeira, sem adesivo pré-aplicado, para peças exclusivamente retas, ou de qualidade superior.</w:t>
      </w:r>
      <w:r>
        <w:rPr>
          <w:szCs w:val="20"/>
          <w:lang w:val="pt-BR"/>
        </w:rPr>
      </w:r>
    </w:p>
    <w:p>
      <w:pPr>
        <w:pStyle w:val="1099"/>
        <w:pBdr/>
        <w:spacing w:after="0" w:before="0"/>
        <w:ind/>
        <w:jc w:val="both"/>
        <w:rPr>
          <w:szCs w:val="20"/>
          <w:lang w:val="pt-BR"/>
        </w:rPr>
      </w:pPr>
      <w:r>
        <w:rPr>
          <w:b/>
          <w:bCs/>
          <w:szCs w:val="20"/>
          <w:lang w:val="pt-BR"/>
        </w:rPr>
        <w:t xml:space="preserve">12.7.2.</w:t>
      </w:r>
      <w:r>
        <w:rPr>
          <w:szCs w:val="20"/>
          <w:lang w:val="pt-BR"/>
        </w:rPr>
        <w:t xml:space="preserve"> Deverá permitir o uso de fitas com espessura mínima de 0,3 mm e máxima de 2,0 mm, e largura mínima de 10 mm e máxima de 80 mm.</w:t>
      </w:r>
      <w:r>
        <w:rPr>
          <w:szCs w:val="20"/>
          <w:lang w:val="pt-BR"/>
        </w:rPr>
      </w:r>
    </w:p>
    <w:p>
      <w:pPr>
        <w:pStyle w:val="1099"/>
        <w:pBdr/>
        <w:spacing w:after="0" w:before="0"/>
        <w:ind/>
        <w:jc w:val="both"/>
        <w:rPr>
          <w:szCs w:val="20"/>
          <w:lang w:val="pt-BR"/>
        </w:rPr>
      </w:pPr>
      <w:r>
        <w:rPr>
          <w:b/>
          <w:bCs/>
          <w:szCs w:val="20"/>
          <w:lang w:val="pt-BR"/>
        </w:rPr>
        <w:t xml:space="preserve">12.7.3.</w:t>
      </w:r>
      <w:r>
        <w:rPr>
          <w:szCs w:val="20"/>
          <w:lang w:val="pt-BR"/>
        </w:rPr>
        <w:t xml:space="preserve"> Deverá possuir destopador manual para corte rente à peça.</w:t>
      </w:r>
      <w:r>
        <w:rPr>
          <w:szCs w:val="20"/>
          <w:lang w:val="pt-BR"/>
        </w:rPr>
      </w:r>
    </w:p>
    <w:p>
      <w:pPr>
        <w:pStyle w:val="1099"/>
        <w:pBdr/>
        <w:spacing w:after="0" w:before="0"/>
        <w:ind/>
        <w:jc w:val="both"/>
        <w:rPr>
          <w:szCs w:val="20"/>
          <w:lang w:val="pt-BR"/>
        </w:rPr>
      </w:pPr>
      <w:r>
        <w:rPr>
          <w:b/>
          <w:bCs/>
          <w:szCs w:val="20"/>
          <w:lang w:val="pt-BR"/>
        </w:rPr>
        <w:t xml:space="preserve">12.7.4. </w:t>
      </w:r>
      <w:r>
        <w:rPr>
          <w:szCs w:val="20"/>
          <w:lang w:val="pt-BR"/>
        </w:rPr>
        <w:t xml:space="preserve">Controlador digital de temperatura com faixa de ajuste entre 120 °C e 220 °C.</w:t>
      </w:r>
      <w:r>
        <w:rPr>
          <w:szCs w:val="20"/>
          <w:lang w:val="pt-BR"/>
        </w:rPr>
      </w:r>
    </w:p>
    <w:p>
      <w:pPr>
        <w:pStyle w:val="1099"/>
        <w:pBdr/>
        <w:spacing w:after="0" w:before="0"/>
        <w:ind/>
        <w:jc w:val="both"/>
        <w:rPr>
          <w:szCs w:val="20"/>
          <w:lang w:val="pt-BR"/>
        </w:rPr>
      </w:pPr>
      <w:r>
        <w:rPr>
          <w:b/>
          <w:bCs/>
          <w:szCs w:val="20"/>
          <w:lang w:val="pt-BR"/>
        </w:rPr>
        <w:t xml:space="preserve">12.7.5.</w:t>
      </w:r>
      <w:r>
        <w:rPr>
          <w:szCs w:val="20"/>
          <w:lang w:val="pt-BR"/>
        </w:rPr>
        <w:t xml:space="preserve"> Velocidade mínima de avanço de 5,5 m/min e potência mínima de 1.500 W.</w:t>
      </w:r>
      <w:r>
        <w:rPr>
          <w:szCs w:val="20"/>
          <w:lang w:val="pt-BR"/>
        </w:rPr>
      </w:r>
    </w:p>
    <w:p>
      <w:pPr>
        <w:pStyle w:val="1099"/>
        <w:pBdr/>
        <w:spacing w:after="0" w:before="0"/>
        <w:ind/>
        <w:jc w:val="both"/>
        <w:rPr>
          <w:szCs w:val="20"/>
          <w:lang w:val="pt-BR"/>
        </w:rPr>
      </w:pPr>
      <w:r>
        <w:rPr>
          <w:b/>
          <w:bCs/>
          <w:szCs w:val="20"/>
          <w:lang w:val="pt-BR"/>
        </w:rPr>
        <w:t xml:space="preserve">12.7.6. </w:t>
      </w:r>
      <w:r>
        <w:rPr>
          <w:szCs w:val="20"/>
          <w:lang w:val="pt-BR"/>
        </w:rPr>
        <w:t xml:space="preserve">Alimentação elétrica 220 V monofásica ou bivolt.</w:t>
      </w:r>
      <w:r>
        <w:rPr>
          <w:szCs w:val="20"/>
          <w:lang w:val="pt-BR"/>
        </w:rPr>
      </w:r>
    </w:p>
    <w:p>
      <w:pPr>
        <w:pStyle w:val="1099"/>
        <w:pBdr/>
        <w:spacing w:after="0" w:before="0"/>
        <w:ind/>
        <w:jc w:val="both"/>
        <w:rPr>
          <w:szCs w:val="20"/>
          <w:lang w:val="pt-BR"/>
        </w:rPr>
      </w:pPr>
      <w:r>
        <w:rPr>
          <w:b/>
          <w:bCs/>
          <w:szCs w:val="20"/>
          <w:lang w:val="pt-BR"/>
        </w:rPr>
        <w:t xml:space="preserve">12.7.7. </w:t>
      </w:r>
      <w:r>
        <w:rPr>
          <w:szCs w:val="20"/>
          <w:lang w:val="pt-BR"/>
        </w:rPr>
        <w:t xml:space="preserve">Equipamento novo, original de fábrica, com manual em português e garantia mínima </w:t>
      </w:r>
      <w:r>
        <w:rPr>
          <w:szCs w:val="20"/>
          <w:lang w:val="pt-BR"/>
        </w:rPr>
        <w:t xml:space="preserve">de 12 meses.</w:t>
      </w:r>
      <w:r>
        <w:rPr>
          <w:szCs w:val="20"/>
          <w:lang w:val="pt-BR"/>
        </w:rPr>
      </w:r>
    </w:p>
    <w:p>
      <w:pPr>
        <w:pStyle w:val="1099"/>
        <w:pBdr/>
        <w:spacing w:after="0" w:before="0"/>
        <w:ind/>
        <w:jc w:val="both"/>
        <w:rPr>
          <w:b/>
          <w:bCs/>
          <w:szCs w:val="20"/>
          <w:lang w:val="pt-BR"/>
        </w:rPr>
      </w:pPr>
      <w:r>
        <w:rPr>
          <w:b/>
          <w:bCs/>
          <w:szCs w:val="20"/>
          <w:lang w:val="pt-BR"/>
        </w:rPr>
        <w:t xml:space="preserve">12.8. COLETOR DE PÓ INDUSTRIAL</w:t>
      </w:r>
      <w:r>
        <w:rPr>
          <w:b/>
          <w:bCs/>
          <w:szCs w:val="20"/>
          <w:lang w:val="pt-BR"/>
        </w:rPr>
      </w:r>
    </w:p>
    <w:p>
      <w:pPr>
        <w:pStyle w:val="1099"/>
        <w:pBdr/>
        <w:spacing w:after="0" w:before="0"/>
        <w:ind/>
        <w:jc w:val="both"/>
        <w:rPr>
          <w:szCs w:val="20"/>
          <w:lang w:val="pt-BR"/>
        </w:rPr>
      </w:pPr>
      <w:r>
        <w:rPr>
          <w:b/>
          <w:bCs/>
          <w:szCs w:val="20"/>
          <w:lang w:val="pt-BR"/>
        </w:rPr>
        <w:t xml:space="preserve">12.8.1.</w:t>
      </w:r>
      <w:r>
        <w:rPr>
          <w:szCs w:val="20"/>
          <w:lang w:val="pt-BR"/>
        </w:rPr>
        <w:t xml:space="preserve"> Coletor de pó industrial para marcenaria, destinado à aspiração de pó e cavacos de madeira, ou de qualidade superior.</w:t>
      </w:r>
      <w:r>
        <w:rPr>
          <w:szCs w:val="20"/>
          <w:lang w:val="pt-BR"/>
        </w:rPr>
      </w:r>
    </w:p>
    <w:p>
      <w:pPr>
        <w:pStyle w:val="1099"/>
        <w:pBdr/>
        <w:spacing w:after="0" w:before="0"/>
        <w:ind/>
        <w:jc w:val="both"/>
        <w:rPr>
          <w:szCs w:val="20"/>
          <w:lang w:val="pt-BR"/>
        </w:rPr>
      </w:pPr>
      <w:r>
        <w:rPr>
          <w:b/>
          <w:bCs/>
          <w:szCs w:val="20"/>
          <w:lang w:val="pt-BR"/>
        </w:rPr>
        <w:t xml:space="preserve">12.8.2.</w:t>
      </w:r>
      <w:r>
        <w:rPr>
          <w:szCs w:val="20"/>
          <w:lang w:val="pt-BR"/>
        </w:rPr>
        <w:t xml:space="preserve"> Motor elétrico mínimo de 2 CV, 2 polos, monofásico ou trifásico, para uso contínuo.</w:t>
      </w:r>
      <w:r>
        <w:rPr>
          <w:szCs w:val="20"/>
          <w:lang w:val="pt-BR"/>
        </w:rPr>
      </w:r>
    </w:p>
    <w:p>
      <w:pPr>
        <w:pStyle w:val="1099"/>
        <w:pBdr/>
        <w:spacing w:after="0" w:before="0"/>
        <w:ind/>
        <w:jc w:val="both"/>
        <w:rPr>
          <w:szCs w:val="20"/>
          <w:lang w:val="pt-BR"/>
        </w:rPr>
      </w:pPr>
      <w:r>
        <w:rPr>
          <w:b/>
          <w:bCs/>
          <w:szCs w:val="20"/>
          <w:lang w:val="pt-BR"/>
        </w:rPr>
        <w:t xml:space="preserve">12.8.3.</w:t>
      </w:r>
      <w:r>
        <w:rPr>
          <w:szCs w:val="20"/>
          <w:lang w:val="pt-BR"/>
        </w:rPr>
        <w:t xml:space="preserve"> Vazão mínima de 28 m³/min e pressão estática mínima de 270 mmca.</w:t>
      </w:r>
      <w:r>
        <w:rPr>
          <w:szCs w:val="20"/>
          <w:lang w:val="pt-BR"/>
        </w:rPr>
      </w:r>
    </w:p>
    <w:p>
      <w:pPr>
        <w:pStyle w:val="1099"/>
        <w:pBdr/>
        <w:spacing w:after="0" w:before="0"/>
        <w:ind/>
        <w:jc w:val="both"/>
        <w:rPr>
          <w:szCs w:val="20"/>
          <w:lang w:val="pt-BR"/>
        </w:rPr>
      </w:pPr>
      <w:r>
        <w:rPr>
          <w:b/>
          <w:bCs/>
          <w:szCs w:val="20"/>
          <w:lang w:val="pt-BR"/>
        </w:rPr>
        <w:t xml:space="preserve">12.8.4.</w:t>
      </w:r>
      <w:r>
        <w:rPr>
          <w:szCs w:val="20"/>
          <w:lang w:val="pt-BR"/>
        </w:rPr>
        <w:t xml:space="preserve"> Duas bocas de entrada de 100 mm de diâmetro nominal.</w:t>
      </w:r>
      <w:r>
        <w:rPr>
          <w:szCs w:val="20"/>
          <w:lang w:val="pt-BR"/>
        </w:rPr>
      </w:r>
    </w:p>
    <w:p>
      <w:pPr>
        <w:pStyle w:val="1099"/>
        <w:pBdr/>
        <w:spacing w:after="0" w:before="0"/>
        <w:ind/>
        <w:jc w:val="both"/>
        <w:rPr>
          <w:szCs w:val="20"/>
          <w:lang w:val="pt-BR"/>
        </w:rPr>
      </w:pPr>
      <w:r>
        <w:rPr>
          <w:b/>
          <w:bCs/>
          <w:szCs w:val="20"/>
          <w:lang w:val="pt-BR"/>
        </w:rPr>
        <w:t xml:space="preserve">12.8.5. </w:t>
      </w:r>
      <w:r>
        <w:rPr>
          <w:szCs w:val="20"/>
          <w:lang w:val="pt-BR"/>
        </w:rPr>
        <w:t xml:space="preserve">Capacidade mínima do reservatório de 150 litros, com saco coletor e filtro em tecido ou sistema equivalente.</w:t>
      </w:r>
      <w:r>
        <w:rPr>
          <w:szCs w:val="20"/>
          <w:lang w:val="pt-BR"/>
        </w:rPr>
      </w:r>
      <w:r>
        <w:rPr>
          <w:szCs w:val="20"/>
          <w:lang w:val="pt-BR"/>
        </w:rPr>
      </w:r>
    </w:p>
    <w:p>
      <w:pPr>
        <w:pStyle w:val="1099"/>
        <w:pBdr/>
        <w:spacing w:after="0" w:before="0"/>
        <w:ind/>
        <w:jc w:val="both"/>
        <w:rPr>
          <w:szCs w:val="20"/>
          <w:lang w:val="pt-BR"/>
        </w:rPr>
      </w:pPr>
      <w:r>
        <w:rPr>
          <w:b/>
          <w:bCs/>
          <w:szCs w:val="20"/>
          <w:lang w:val="pt-BR"/>
        </w:rPr>
        <w:t xml:space="preserve">12.8.6. </w:t>
      </w:r>
      <w:r>
        <w:rPr>
          <w:szCs w:val="20"/>
          <w:lang w:val="pt-BR"/>
        </w:rPr>
        <w:t xml:space="preserve">Equipamento novo, com manual em português e garantia mínima de 12 meses.</w:t>
      </w:r>
      <w:r>
        <w:rPr>
          <w:szCs w:val="20"/>
          <w:lang w:val="pt-BR"/>
        </w:rPr>
      </w:r>
    </w:p>
    <w:p>
      <w:pPr>
        <w:pStyle w:val="1099"/>
        <w:pBdr/>
        <w:spacing w:after="0" w:before="0"/>
        <w:ind/>
        <w:jc w:val="both"/>
        <w:rPr>
          <w:b/>
          <w:bCs/>
          <w:szCs w:val="20"/>
          <w:lang w:val="pt-BR"/>
        </w:rPr>
      </w:pPr>
      <w:r>
        <w:rPr>
          <w:b/>
          <w:bCs/>
          <w:szCs w:val="20"/>
          <w:lang w:val="pt-BR"/>
        </w:rPr>
        <w:t xml:space="preserve">12.9. COMPRESSOR DE AR</w:t>
      </w:r>
      <w:r>
        <w:rPr>
          <w:b/>
          <w:bCs/>
          <w:szCs w:val="20"/>
          <w:lang w:val="pt-BR"/>
        </w:rPr>
      </w:r>
    </w:p>
    <w:p>
      <w:pPr>
        <w:pStyle w:val="1099"/>
        <w:pBdr/>
        <w:spacing w:after="0" w:before="0"/>
        <w:ind/>
        <w:jc w:val="both"/>
        <w:rPr>
          <w:szCs w:val="20"/>
          <w:lang w:val="pt-BR"/>
        </w:rPr>
      </w:pPr>
      <w:r>
        <w:rPr>
          <w:b/>
          <w:bCs/>
          <w:szCs w:val="20"/>
          <w:lang w:val="pt-BR"/>
        </w:rPr>
        <w:t xml:space="preserve">12.9.1. </w:t>
      </w:r>
      <w:r>
        <w:rPr>
          <w:szCs w:val="20"/>
          <w:lang w:val="pt-BR"/>
        </w:rPr>
        <w:t xml:space="preserve">Compressor de ar alternativo lubrificado, reservatório horizontal mínimo de 110 litros, ou de qualidade superior.</w:t>
      </w:r>
      <w:r>
        <w:rPr>
          <w:szCs w:val="20"/>
          <w:lang w:val="pt-BR"/>
        </w:rPr>
      </w:r>
    </w:p>
    <w:p>
      <w:pPr>
        <w:pStyle w:val="1099"/>
        <w:pBdr/>
        <w:spacing w:after="0" w:before="0"/>
        <w:ind/>
        <w:jc w:val="both"/>
        <w:rPr>
          <w:szCs w:val="20"/>
          <w:lang w:val="pt-BR"/>
        </w:rPr>
      </w:pPr>
      <w:r>
        <w:rPr>
          <w:b/>
          <w:bCs/>
          <w:szCs w:val="20"/>
          <w:lang w:val="pt-BR"/>
        </w:rPr>
        <w:t xml:space="preserve">12.9.2. </w:t>
      </w:r>
      <w:r>
        <w:rPr>
          <w:szCs w:val="20"/>
          <w:lang w:val="pt-BR"/>
        </w:rPr>
        <w:t xml:space="preserve">Motor monofásico mínimo de 2 CV (1,49 kW), com protetor térmico.</w:t>
      </w:r>
      <w:r>
        <w:rPr>
          <w:szCs w:val="20"/>
          <w:lang w:val="pt-BR"/>
        </w:rPr>
      </w:r>
    </w:p>
    <w:p>
      <w:pPr>
        <w:pStyle w:val="1099"/>
        <w:pBdr/>
        <w:spacing w:after="0" w:before="0"/>
        <w:ind/>
        <w:jc w:val="both"/>
        <w:rPr>
          <w:szCs w:val="20"/>
          <w:lang w:val="pt-BR"/>
        </w:rPr>
      </w:pPr>
      <w:r>
        <w:rPr>
          <w:b/>
          <w:bCs/>
          <w:szCs w:val="20"/>
          <w:lang w:val="pt-BR"/>
        </w:rPr>
        <w:t xml:space="preserve">12.9.3. </w:t>
      </w:r>
      <w:r>
        <w:rPr>
          <w:szCs w:val="20"/>
          <w:lang w:val="pt-BR"/>
        </w:rPr>
        <w:t xml:space="preserve">Pressão máxima mínima de 9,6 bar, transmissão por correia, bloco compressor em ferro fundido em “V”, lubrificação a óleo.</w:t>
      </w:r>
      <w:r>
        <w:rPr>
          <w:szCs w:val="20"/>
          <w:lang w:val="pt-BR"/>
        </w:rPr>
      </w:r>
    </w:p>
    <w:p>
      <w:pPr>
        <w:pStyle w:val="1099"/>
        <w:pBdr/>
        <w:spacing w:after="0" w:before="0"/>
        <w:ind/>
        <w:jc w:val="both"/>
        <w:rPr>
          <w:szCs w:val="20"/>
          <w:lang w:val="pt-BR"/>
        </w:rPr>
      </w:pPr>
      <w:r>
        <w:rPr>
          <w:b/>
          <w:bCs/>
          <w:szCs w:val="20"/>
          <w:lang w:val="pt-BR"/>
        </w:rPr>
        <w:t xml:space="preserve">12.9.4.</w:t>
      </w:r>
      <w:r>
        <w:rPr>
          <w:szCs w:val="20"/>
          <w:lang w:val="pt-BR"/>
        </w:rPr>
        <w:t xml:space="preserve"> Deverá conter válvula de retenção, dreno, pressostato, manômetro, válvula </w:t>
      </w:r>
      <w:r>
        <w:rPr>
          <w:szCs w:val="20"/>
          <w:lang w:val="pt-BR"/>
        </w:rPr>
        <w:t xml:space="preserve">de segurança, filtros de ar e proteção dupla nas partes girantes.</w:t>
      </w:r>
      <w:r>
        <w:rPr>
          <w:szCs w:val="20"/>
          <w:lang w:val="pt-BR"/>
        </w:rPr>
      </w:r>
    </w:p>
    <w:p>
      <w:pPr>
        <w:pStyle w:val="1099"/>
        <w:pBdr/>
        <w:spacing w:after="0" w:before="0"/>
        <w:ind/>
        <w:jc w:val="both"/>
        <w:rPr>
          <w:szCs w:val="20"/>
          <w:lang w:val="pt-BR"/>
        </w:rPr>
      </w:pPr>
      <w:r>
        <w:rPr>
          <w:b/>
          <w:bCs/>
          <w:szCs w:val="20"/>
          <w:lang w:val="pt-BR"/>
        </w:rPr>
        <w:t xml:space="preserve">12.9.5. </w:t>
      </w:r>
      <w:r>
        <w:rPr>
          <w:szCs w:val="20"/>
          <w:lang w:val="pt-BR"/>
        </w:rPr>
        <w:t xml:space="preserve">Alimentação elétrica 110/220 V ou bivolt.</w:t>
      </w:r>
      <w:r>
        <w:rPr>
          <w:szCs w:val="20"/>
          <w:lang w:val="pt-BR"/>
        </w:rPr>
      </w:r>
    </w:p>
    <w:p>
      <w:pPr>
        <w:pStyle w:val="1099"/>
        <w:pBdr/>
        <w:spacing w:after="0" w:before="0"/>
        <w:ind/>
        <w:jc w:val="both"/>
        <w:rPr>
          <w:szCs w:val="20"/>
          <w:lang w:val="pt-BR"/>
        </w:rPr>
      </w:pPr>
      <w:r>
        <w:rPr>
          <w:b/>
          <w:bCs/>
          <w:szCs w:val="20"/>
          <w:lang w:val="pt-BR"/>
        </w:rPr>
        <w:t xml:space="preserve">12.9.6.</w:t>
      </w:r>
      <w:r>
        <w:rPr>
          <w:szCs w:val="20"/>
          <w:lang w:val="pt-BR"/>
        </w:rPr>
        <w:t xml:space="preserve"> Acompanhado de prontuário do vaso de pressão, manual em português e garantia mínima de 12 meses.</w:t>
      </w:r>
      <w:r>
        <w:rPr>
          <w:szCs w:val="20"/>
          <w:lang w:val="pt-BR"/>
        </w:rPr>
      </w:r>
    </w:p>
    <w:p>
      <w:pPr>
        <w:pStyle w:val="1099"/>
        <w:pBdr/>
        <w:spacing w:after="0" w:before="0"/>
        <w:ind/>
        <w:jc w:val="both"/>
        <w:rPr>
          <w:b/>
          <w:bCs/>
          <w:szCs w:val="20"/>
          <w:lang w:val="pt-BR"/>
        </w:rPr>
      </w:pPr>
      <w:r>
        <w:rPr>
          <w:b/>
          <w:bCs/>
          <w:szCs w:val="20"/>
          <w:lang w:val="pt-BR"/>
        </w:rPr>
        <w:t xml:space="preserve">12.10. CORREDIÇA TELESCÓPICA 350 MM</w:t>
      </w:r>
      <w:r>
        <w:rPr>
          <w:b/>
          <w:bCs/>
          <w:szCs w:val="20"/>
          <w:lang w:val="pt-BR"/>
        </w:rPr>
      </w:r>
    </w:p>
    <w:p>
      <w:pPr>
        <w:pStyle w:val="1099"/>
        <w:pBdr/>
        <w:spacing w:after="0" w:before="0"/>
        <w:ind/>
        <w:jc w:val="both"/>
        <w:rPr>
          <w:szCs w:val="20"/>
          <w:lang w:val="pt-BR"/>
        </w:rPr>
      </w:pPr>
      <w:r>
        <w:rPr>
          <w:b/>
          <w:bCs/>
          <w:szCs w:val="20"/>
          <w:lang w:val="pt-BR"/>
        </w:rPr>
        <w:t xml:space="preserve">12.10.1.</w:t>
      </w:r>
      <w:r>
        <w:rPr>
          <w:szCs w:val="20"/>
          <w:lang w:val="pt-BR"/>
        </w:rPr>
        <w:t xml:space="preserve"> Corrediça telescópica com comprimento nominal de 350 mm, acabamento zincado acetinado, ou de qualidade superior.</w:t>
      </w:r>
      <w:r>
        <w:rPr>
          <w:szCs w:val="20"/>
          <w:lang w:val="pt-BR"/>
        </w:rPr>
      </w:r>
    </w:p>
    <w:p>
      <w:pPr>
        <w:pStyle w:val="1099"/>
        <w:pBdr/>
        <w:spacing w:after="0" w:before="0"/>
        <w:ind/>
        <w:jc w:val="both"/>
        <w:rPr>
          <w:szCs w:val="20"/>
          <w:lang w:val="pt-BR"/>
        </w:rPr>
      </w:pPr>
      <w:r>
        <w:rPr>
          <w:b/>
          <w:bCs/>
          <w:szCs w:val="20"/>
          <w:lang w:val="pt-BR"/>
        </w:rPr>
        <w:t xml:space="preserve">12.10.2. </w:t>
      </w:r>
      <w:r>
        <w:rPr>
          <w:szCs w:val="20"/>
          <w:lang w:val="pt-BR"/>
        </w:rPr>
        <w:t xml:space="preserve">Sistema de abertura total, capacidade mínima de 30 kg por par.</w:t>
      </w:r>
      <w:r>
        <w:rPr>
          <w:szCs w:val="20"/>
          <w:lang w:val="pt-BR"/>
        </w:rPr>
      </w:r>
    </w:p>
    <w:p>
      <w:pPr>
        <w:pStyle w:val="1099"/>
        <w:pBdr/>
        <w:spacing w:after="0" w:before="0"/>
        <w:ind/>
        <w:jc w:val="both"/>
        <w:rPr>
          <w:szCs w:val="20"/>
          <w:lang w:val="pt-BR"/>
        </w:rPr>
      </w:pPr>
      <w:r>
        <w:rPr>
          <w:b/>
          <w:bCs/>
          <w:szCs w:val="20"/>
          <w:lang w:val="pt-BR"/>
        </w:rPr>
        <w:t xml:space="preserve">12.10.3. </w:t>
      </w:r>
      <w:r>
        <w:rPr>
          <w:szCs w:val="20"/>
          <w:lang w:val="pt-BR"/>
        </w:rPr>
        <w:t xml:space="preserve">Embalagem contendo 1 (um) par.</w:t>
      </w:r>
      <w:r>
        <w:rPr>
          <w:szCs w:val="20"/>
          <w:lang w:val="pt-BR"/>
        </w:rPr>
      </w:r>
    </w:p>
    <w:p>
      <w:pPr>
        <w:pStyle w:val="1099"/>
        <w:pBdr/>
        <w:spacing w:after="0" w:before="0"/>
        <w:ind/>
        <w:jc w:val="both"/>
        <w:rPr>
          <w:b/>
          <w:bCs/>
          <w:szCs w:val="20"/>
          <w:lang w:val="pt-BR"/>
        </w:rPr>
      </w:pPr>
      <w:r>
        <w:rPr>
          <w:b/>
          <w:bCs/>
          <w:szCs w:val="20"/>
          <w:lang w:val="pt-BR"/>
        </w:rPr>
        <w:t xml:space="preserve">12.11. CORREDIÇA TELE</w:t>
      </w:r>
      <w:r>
        <w:rPr>
          <w:b/>
          <w:bCs/>
          <w:szCs w:val="20"/>
          <w:lang w:val="pt-BR"/>
        </w:rPr>
        <w:t xml:space="preserve">SCÓPICA 400 MM</w:t>
      </w:r>
      <w:r>
        <w:rPr>
          <w:b/>
          <w:bCs/>
          <w:szCs w:val="20"/>
          <w:lang w:val="pt-BR"/>
        </w:rPr>
      </w:r>
    </w:p>
    <w:p>
      <w:pPr>
        <w:pStyle w:val="1099"/>
        <w:pBdr/>
        <w:spacing w:after="0" w:before="0"/>
        <w:ind/>
        <w:jc w:val="both"/>
        <w:rPr>
          <w:szCs w:val="20"/>
          <w:lang w:val="pt-BR"/>
        </w:rPr>
      </w:pPr>
      <w:r>
        <w:rPr>
          <w:b/>
          <w:bCs/>
          <w:szCs w:val="20"/>
          <w:lang w:val="pt-BR"/>
        </w:rPr>
        <w:t xml:space="preserve">12.11.1.</w:t>
      </w:r>
      <w:r>
        <w:rPr>
          <w:szCs w:val="20"/>
          <w:lang w:val="pt-BR"/>
        </w:rPr>
        <w:t xml:space="preserve"> Corrediça telescópica lateral, comprimento nominal 400 mm, aço zincado, cor prata, ou de qualidade superior.</w:t>
      </w:r>
      <w:r>
        <w:rPr>
          <w:szCs w:val="20"/>
          <w:lang w:val="pt-BR"/>
        </w:rPr>
      </w:r>
    </w:p>
    <w:p>
      <w:pPr>
        <w:pStyle w:val="1099"/>
        <w:pBdr/>
        <w:spacing w:after="0" w:before="0"/>
        <w:ind/>
        <w:jc w:val="both"/>
        <w:rPr>
          <w:szCs w:val="20"/>
          <w:lang w:val="pt-BR"/>
        </w:rPr>
      </w:pPr>
      <w:r>
        <w:rPr>
          <w:b/>
          <w:bCs/>
          <w:szCs w:val="20"/>
          <w:lang w:val="pt-BR"/>
        </w:rPr>
        <w:t xml:space="preserve">12.11.2. </w:t>
      </w:r>
      <w:r>
        <w:rPr>
          <w:szCs w:val="20"/>
          <w:lang w:val="pt-BR"/>
        </w:rPr>
        <w:t xml:space="preserve">Altura aproximada de 42 mm e capacidade mínima de 30 kg por par.</w:t>
      </w:r>
      <w:r>
        <w:rPr>
          <w:szCs w:val="20"/>
          <w:lang w:val="pt-BR"/>
        </w:rPr>
      </w:r>
    </w:p>
    <w:p>
      <w:pPr>
        <w:pStyle w:val="1099"/>
        <w:pBdr/>
        <w:spacing w:after="0" w:before="0"/>
        <w:ind/>
        <w:jc w:val="both"/>
        <w:rPr>
          <w:szCs w:val="20"/>
          <w:lang w:val="pt-BR"/>
        </w:rPr>
      </w:pPr>
      <w:r>
        <w:rPr>
          <w:b/>
          <w:bCs/>
          <w:szCs w:val="20"/>
          <w:lang w:val="pt-BR"/>
        </w:rPr>
        <w:t xml:space="preserve">12.11.3.</w:t>
      </w:r>
      <w:r>
        <w:rPr>
          <w:szCs w:val="20"/>
          <w:lang w:val="pt-BR"/>
        </w:rPr>
        <w:t xml:space="preserve"> Sistema com dispositivo de retenção na posição fechada.</w:t>
      </w:r>
      <w:r>
        <w:rPr>
          <w:szCs w:val="20"/>
          <w:lang w:val="pt-BR"/>
        </w:rPr>
      </w:r>
    </w:p>
    <w:p>
      <w:pPr>
        <w:pStyle w:val="1099"/>
        <w:pBdr/>
        <w:spacing w:after="0" w:before="0"/>
        <w:ind/>
        <w:jc w:val="both"/>
        <w:rPr>
          <w:szCs w:val="20"/>
          <w:lang w:val="pt-BR"/>
        </w:rPr>
      </w:pPr>
      <w:r>
        <w:rPr>
          <w:b/>
          <w:bCs/>
          <w:szCs w:val="20"/>
          <w:lang w:val="pt-BR"/>
        </w:rPr>
        <w:t xml:space="preserve">12.11.4. </w:t>
      </w:r>
      <w:r>
        <w:rPr>
          <w:szCs w:val="20"/>
          <w:lang w:val="pt-BR"/>
        </w:rPr>
        <w:t xml:space="preserve">Embalagem contendo 1 (um) par.</w:t>
      </w:r>
      <w:r>
        <w:rPr>
          <w:szCs w:val="20"/>
          <w:lang w:val="pt-BR"/>
        </w:rPr>
      </w:r>
    </w:p>
    <w:p>
      <w:pPr>
        <w:pStyle w:val="1099"/>
        <w:pBdr/>
        <w:spacing w:after="0" w:before="0"/>
        <w:ind/>
        <w:jc w:val="both"/>
        <w:rPr>
          <w:b/>
          <w:bCs/>
          <w:szCs w:val="20"/>
          <w:lang w:val="pt-BR"/>
        </w:rPr>
      </w:pPr>
      <w:r>
        <w:rPr>
          <w:b/>
          <w:bCs/>
          <w:szCs w:val="20"/>
          <w:lang w:val="pt-BR"/>
        </w:rPr>
        <w:t xml:space="preserve">12.12. DOBRADIÇA CURVA (OU ALTA) PARA MÓVEIS COM AMORTECIMENTO</w:t>
      </w:r>
      <w:r>
        <w:rPr>
          <w:b/>
          <w:bCs/>
          <w:szCs w:val="20"/>
          <w:lang w:val="pt-BR"/>
        </w:rPr>
      </w:r>
    </w:p>
    <w:p>
      <w:pPr>
        <w:pStyle w:val="1099"/>
        <w:pBdr/>
        <w:spacing w:after="0" w:before="0"/>
        <w:ind/>
        <w:jc w:val="both"/>
        <w:rPr>
          <w:szCs w:val="20"/>
          <w:lang w:val="pt-BR"/>
        </w:rPr>
      </w:pPr>
      <w:r>
        <w:rPr>
          <w:b/>
          <w:bCs/>
          <w:szCs w:val="20"/>
          <w:lang w:val="pt-BR"/>
        </w:rPr>
        <w:t xml:space="preserve">12.12.1. </w:t>
      </w:r>
      <w:r>
        <w:rPr>
          <w:szCs w:val="20"/>
          <w:lang w:val="pt-BR"/>
        </w:rPr>
        <w:t xml:space="preserve">Dobradiça curva (ou alta) para móveis, com sistema de amortecimento (slow motion) embutido no braço, ou de qualidade superior.</w:t>
      </w:r>
      <w:r>
        <w:rPr>
          <w:szCs w:val="20"/>
          <w:lang w:val="pt-BR"/>
        </w:rPr>
      </w:r>
    </w:p>
    <w:p>
      <w:pPr>
        <w:pStyle w:val="1099"/>
        <w:pBdr/>
        <w:spacing w:after="0" w:before="0"/>
        <w:ind/>
        <w:jc w:val="both"/>
        <w:rPr>
          <w:szCs w:val="20"/>
          <w:lang w:val="pt-BR"/>
        </w:rPr>
      </w:pPr>
      <w:r>
        <w:rPr>
          <w:b/>
          <w:bCs/>
          <w:szCs w:val="20"/>
          <w:lang w:val="pt-BR"/>
        </w:rPr>
        <w:t xml:space="preserve">1</w:t>
      </w:r>
      <w:r>
        <w:rPr>
          <w:b/>
          <w:bCs/>
          <w:szCs w:val="20"/>
          <w:lang w:val="pt-BR"/>
        </w:rPr>
        <w:t xml:space="preserve">2.12.2.</w:t>
      </w:r>
      <w:r>
        <w:rPr>
          <w:szCs w:val="20"/>
          <w:lang w:val="pt-BR"/>
        </w:rPr>
        <w:t xml:space="preserve"> Diâmetro do caneco de 35 mm, com calço H2 (altura de 2 mm) e sistema de fixação tipo slide-on.</w:t>
      </w:r>
      <w:r>
        <w:rPr>
          <w:szCs w:val="20"/>
          <w:lang w:val="pt-BR"/>
        </w:rPr>
      </w:r>
    </w:p>
    <w:p>
      <w:pPr>
        <w:pStyle w:val="1099"/>
        <w:pBdr/>
        <w:spacing w:after="0" w:before="0"/>
        <w:ind/>
        <w:jc w:val="both"/>
        <w:rPr>
          <w:szCs w:val="20"/>
          <w:lang w:val="pt-BR"/>
        </w:rPr>
      </w:pPr>
      <w:r>
        <w:rPr>
          <w:b/>
          <w:bCs/>
          <w:szCs w:val="20"/>
          <w:lang w:val="pt-BR"/>
        </w:rPr>
        <w:t xml:space="preserve">12.12.3. </w:t>
      </w:r>
      <w:r>
        <w:rPr>
          <w:szCs w:val="20"/>
          <w:lang w:val="pt-BR"/>
        </w:rPr>
        <w:t xml:space="preserve">Tipo de fechamento por pressão/automático, confeccionada em aço, acabamento niquelado ou cromado.</w:t>
      </w:r>
      <w:r>
        <w:rPr>
          <w:szCs w:val="20"/>
          <w:lang w:val="pt-BR"/>
        </w:rPr>
      </w:r>
    </w:p>
    <w:p>
      <w:pPr>
        <w:pStyle w:val="1099"/>
        <w:pBdr/>
        <w:spacing w:after="0" w:before="0"/>
        <w:ind/>
        <w:jc w:val="both"/>
        <w:rPr>
          <w:szCs w:val="20"/>
          <w:lang w:val="pt-BR"/>
        </w:rPr>
      </w:pPr>
      <w:r>
        <w:rPr>
          <w:b/>
          <w:bCs/>
          <w:szCs w:val="20"/>
          <w:lang w:val="pt-BR"/>
        </w:rPr>
        <w:t xml:space="preserve">12.12.4. </w:t>
      </w:r>
      <w:r>
        <w:rPr>
          <w:szCs w:val="20"/>
          <w:lang w:val="pt-BR"/>
        </w:rPr>
        <w:t xml:space="preserve">Compatível com portas de espessura entre 16 mm e 26 mm.</w:t>
      </w:r>
      <w:r>
        <w:rPr>
          <w:szCs w:val="20"/>
          <w:lang w:val="pt-BR"/>
        </w:rPr>
      </w:r>
    </w:p>
    <w:p>
      <w:pPr>
        <w:pStyle w:val="1099"/>
        <w:pBdr/>
        <w:spacing w:after="0" w:before="0"/>
        <w:ind/>
        <w:jc w:val="both"/>
        <w:rPr>
          <w:szCs w:val="20"/>
          <w:lang w:val="pt-BR"/>
        </w:rPr>
      </w:pPr>
      <w:r>
        <w:rPr>
          <w:b/>
          <w:bCs/>
          <w:szCs w:val="20"/>
          <w:lang w:val="pt-BR"/>
        </w:rPr>
        <w:t xml:space="preserve">12.12.5. </w:t>
      </w:r>
      <w:r>
        <w:rPr>
          <w:szCs w:val="20"/>
          <w:lang w:val="pt-BR"/>
        </w:rPr>
        <w:t xml:space="preserve">Ângulo mínimo de abertura de 105°, garantindo abertura funcional, fechamento suave e adequado desempenho em mobiliários.</w:t>
      </w:r>
      <w:r>
        <w:rPr>
          <w:szCs w:val="20"/>
          <w:lang w:val="pt-BR"/>
        </w:rPr>
      </w:r>
    </w:p>
    <w:p>
      <w:pPr>
        <w:pStyle w:val="1099"/>
        <w:pBdr/>
        <w:spacing w:after="0" w:before="0"/>
        <w:ind/>
        <w:jc w:val="both"/>
        <w:rPr>
          <w:b/>
          <w:bCs/>
          <w:szCs w:val="20"/>
          <w:lang w:val="pt-BR"/>
        </w:rPr>
      </w:pPr>
      <w:r>
        <w:rPr>
          <w:b/>
          <w:bCs/>
          <w:szCs w:val="20"/>
          <w:lang w:val="pt-BR"/>
        </w:rPr>
        <w:t xml:space="preserve">12.13. ESQUADREJADEIRA COM EIXO INCLINÁVEL</w:t>
      </w:r>
      <w:r>
        <w:rPr>
          <w:b/>
          <w:bCs/>
          <w:szCs w:val="20"/>
          <w:lang w:val="pt-BR"/>
        </w:rPr>
      </w:r>
    </w:p>
    <w:p>
      <w:pPr>
        <w:pStyle w:val="1099"/>
        <w:pBdr/>
        <w:spacing w:after="0" w:before="0"/>
        <w:ind/>
        <w:jc w:val="both"/>
        <w:rPr>
          <w:szCs w:val="20"/>
          <w:lang w:val="pt-BR"/>
        </w:rPr>
      </w:pPr>
      <w:r>
        <w:rPr>
          <w:b/>
          <w:bCs/>
          <w:szCs w:val="20"/>
          <w:lang w:val="pt-BR"/>
        </w:rPr>
        <w:t xml:space="preserve">12.13.1. </w:t>
      </w:r>
      <w:r>
        <w:rPr>
          <w:szCs w:val="20"/>
          <w:lang w:val="pt-BR"/>
        </w:rPr>
        <w:t xml:space="preserve">Motor monofásico mínimo de 3 CV – 2 polos, ou de qualid</w:t>
      </w:r>
      <w:r>
        <w:rPr>
          <w:szCs w:val="20"/>
          <w:lang w:val="pt-BR"/>
        </w:rPr>
        <w:t xml:space="preserve">ade superior.</w:t>
      </w:r>
      <w:r>
        <w:rPr>
          <w:szCs w:val="20"/>
          <w:lang w:val="pt-BR"/>
        </w:rPr>
      </w:r>
    </w:p>
    <w:p>
      <w:pPr>
        <w:pStyle w:val="1099"/>
        <w:pBdr/>
        <w:spacing w:after="0" w:before="0"/>
        <w:ind/>
        <w:jc w:val="both"/>
        <w:rPr>
          <w:szCs w:val="20"/>
          <w:lang w:val="pt-BR"/>
        </w:rPr>
      </w:pPr>
      <w:r>
        <w:rPr>
          <w:b/>
          <w:bCs/>
          <w:szCs w:val="20"/>
          <w:lang w:val="pt-BR"/>
        </w:rPr>
        <w:t xml:space="preserve">12.13.2. </w:t>
      </w:r>
      <w:r>
        <w:rPr>
          <w:szCs w:val="20"/>
          <w:lang w:val="pt-BR"/>
        </w:rPr>
        <w:t xml:space="preserve">Mesa móvel mínima de 1.300 x 850 mm e capacidade de corte mínima de 3.000 mm.</w:t>
      </w:r>
      <w:r>
        <w:rPr>
          <w:szCs w:val="20"/>
          <w:lang w:val="pt-BR"/>
        </w:rPr>
      </w:r>
    </w:p>
    <w:p>
      <w:pPr>
        <w:pStyle w:val="1099"/>
        <w:pBdr/>
        <w:spacing w:after="0" w:before="0"/>
        <w:ind/>
        <w:jc w:val="both"/>
        <w:rPr>
          <w:szCs w:val="20"/>
          <w:lang w:val="pt-BR"/>
        </w:rPr>
      </w:pPr>
      <w:r>
        <w:rPr>
          <w:b/>
          <w:bCs/>
          <w:szCs w:val="20"/>
          <w:lang w:val="pt-BR"/>
        </w:rPr>
        <w:t xml:space="preserve">12.13.3.</w:t>
      </w:r>
      <w:r>
        <w:rPr>
          <w:szCs w:val="20"/>
          <w:lang w:val="pt-BR"/>
        </w:rPr>
        <w:t xml:space="preserve"> Mesa fixa com dimensões mínimas de 810 x 600 mm.</w:t>
      </w:r>
      <w:r>
        <w:rPr>
          <w:szCs w:val="20"/>
          <w:lang w:val="pt-BR"/>
        </w:rPr>
      </w:r>
    </w:p>
    <w:p>
      <w:pPr>
        <w:pStyle w:val="1099"/>
        <w:pBdr/>
        <w:spacing w:after="0" w:before="0"/>
        <w:ind/>
        <w:jc w:val="both"/>
        <w:rPr>
          <w:szCs w:val="20"/>
          <w:lang w:val="pt-BR"/>
        </w:rPr>
      </w:pPr>
      <w:r>
        <w:rPr>
          <w:b/>
          <w:bCs/>
          <w:szCs w:val="20"/>
          <w:lang w:val="pt-BR"/>
        </w:rPr>
        <w:t xml:space="preserve">12.13.4. </w:t>
      </w:r>
      <w:r>
        <w:rPr>
          <w:szCs w:val="20"/>
          <w:lang w:val="pt-BR"/>
        </w:rPr>
        <w:t xml:space="preserve">Diâmetro máximo da serra de 350 mm, inclinação até 45°.</w:t>
      </w:r>
      <w:r>
        <w:rPr>
          <w:szCs w:val="20"/>
          <w:lang w:val="pt-BR"/>
        </w:rPr>
      </w:r>
    </w:p>
    <w:p>
      <w:pPr>
        <w:pStyle w:val="1099"/>
        <w:pBdr/>
        <w:spacing w:after="0" w:before="0"/>
        <w:ind/>
        <w:jc w:val="both"/>
        <w:rPr>
          <w:szCs w:val="20"/>
          <w:lang w:val="pt-BR"/>
        </w:rPr>
      </w:pPr>
      <w:r>
        <w:rPr>
          <w:b/>
          <w:bCs/>
          <w:szCs w:val="20"/>
          <w:lang w:val="pt-BR"/>
        </w:rPr>
        <w:t xml:space="preserve">12.13.5.</w:t>
      </w:r>
      <w:r>
        <w:rPr>
          <w:szCs w:val="20"/>
          <w:lang w:val="pt-BR"/>
        </w:rPr>
        <w:t xml:space="preserve"> Largura de corte da mesa fixa mínima de 1.030 mm e guia em alumínio com comprimento mínimo de 2.580 mm.</w:t>
      </w:r>
      <w:r>
        <w:rPr>
          <w:szCs w:val="20"/>
          <w:lang w:val="pt-BR"/>
        </w:rPr>
      </w:r>
    </w:p>
    <w:p>
      <w:pPr>
        <w:pStyle w:val="1099"/>
        <w:pBdr/>
        <w:spacing w:after="0" w:before="0"/>
        <w:ind/>
        <w:jc w:val="both"/>
        <w:rPr>
          <w:szCs w:val="20"/>
          <w:lang w:val="pt-BR"/>
        </w:rPr>
      </w:pPr>
      <w:r>
        <w:rPr>
          <w:b/>
          <w:bCs/>
          <w:szCs w:val="20"/>
          <w:lang w:val="pt-BR"/>
        </w:rPr>
        <w:t xml:space="preserve">12.13.6. </w:t>
      </w:r>
      <w:r>
        <w:rPr>
          <w:szCs w:val="20"/>
          <w:lang w:val="pt-BR"/>
        </w:rPr>
        <w:t xml:space="preserve">Altura mínima de corte: 80 mm a 90° e 70 mm a 45°.</w:t>
      </w:r>
      <w:r>
        <w:rPr>
          <w:szCs w:val="20"/>
          <w:lang w:val="pt-BR"/>
        </w:rPr>
      </w:r>
    </w:p>
    <w:p>
      <w:pPr>
        <w:pStyle w:val="1099"/>
        <w:pBdr/>
        <w:spacing w:after="0" w:before="0"/>
        <w:ind/>
        <w:jc w:val="both"/>
        <w:rPr>
          <w:szCs w:val="20"/>
          <w:lang w:val="pt-BR"/>
        </w:rPr>
      </w:pPr>
      <w:r>
        <w:rPr>
          <w:b/>
          <w:bCs/>
          <w:szCs w:val="20"/>
          <w:lang w:val="pt-BR"/>
        </w:rPr>
        <w:t xml:space="preserve">12.13.7. </w:t>
      </w:r>
      <w:r>
        <w:rPr>
          <w:szCs w:val="20"/>
          <w:lang w:val="pt-BR"/>
        </w:rPr>
        <w:t xml:space="preserve">Prolongador da mesa fixa com dimensão mínima de 550 mm.</w:t>
      </w:r>
      <w:r>
        <w:rPr>
          <w:szCs w:val="20"/>
          <w:lang w:val="pt-BR"/>
        </w:rPr>
      </w:r>
    </w:p>
    <w:p>
      <w:pPr>
        <w:pStyle w:val="1099"/>
        <w:pBdr/>
        <w:spacing w:after="0" w:before="0"/>
        <w:ind/>
        <w:jc w:val="both"/>
        <w:rPr>
          <w:szCs w:val="20"/>
          <w:lang w:val="pt-BR"/>
        </w:rPr>
      </w:pPr>
      <w:r>
        <w:rPr>
          <w:b/>
          <w:bCs/>
          <w:szCs w:val="20"/>
          <w:lang w:val="pt-BR"/>
        </w:rPr>
        <w:t xml:space="preserve">12.13.8. </w:t>
      </w:r>
      <w:r>
        <w:rPr>
          <w:szCs w:val="20"/>
          <w:lang w:val="pt-BR"/>
        </w:rPr>
        <w:t xml:space="preserve">Equipamento novo, com manual em português</w:t>
      </w:r>
      <w:r>
        <w:rPr>
          <w:szCs w:val="20"/>
          <w:lang w:val="pt-BR"/>
        </w:rPr>
        <w:t xml:space="preserve"> e garantia mínima de 12 meses.</w:t>
      </w:r>
      <w:r>
        <w:rPr>
          <w:szCs w:val="20"/>
          <w:lang w:val="pt-BR"/>
        </w:rPr>
      </w:r>
    </w:p>
    <w:p>
      <w:pPr>
        <w:pStyle w:val="1099"/>
        <w:pBdr/>
        <w:spacing w:after="0" w:before="0"/>
        <w:ind/>
        <w:jc w:val="both"/>
        <w:rPr>
          <w:b/>
          <w:bCs/>
          <w:szCs w:val="20"/>
          <w:lang w:val="pt-BR"/>
        </w:rPr>
      </w:pPr>
      <w:r>
        <w:rPr>
          <w:b/>
          <w:bCs/>
          <w:szCs w:val="20"/>
          <w:lang w:val="pt-BR"/>
        </w:rPr>
        <w:t xml:space="preserve">12.14. FECHADURA PARA GAVETA</w:t>
      </w:r>
      <w:r>
        <w:rPr>
          <w:b/>
          <w:bCs/>
          <w:szCs w:val="20"/>
          <w:lang w:val="pt-BR"/>
        </w:rPr>
      </w:r>
    </w:p>
    <w:p>
      <w:pPr>
        <w:pStyle w:val="1099"/>
        <w:pBdr/>
        <w:spacing w:after="0" w:before="0"/>
        <w:ind/>
        <w:jc w:val="both"/>
        <w:rPr>
          <w:szCs w:val="20"/>
          <w:lang w:val="pt-BR"/>
        </w:rPr>
      </w:pPr>
      <w:r>
        <w:rPr>
          <w:b/>
          <w:bCs/>
          <w:szCs w:val="20"/>
          <w:lang w:val="pt-BR"/>
        </w:rPr>
        <w:t xml:space="preserve">12.14.1. </w:t>
      </w:r>
      <w:r>
        <w:rPr>
          <w:szCs w:val="20"/>
          <w:lang w:val="pt-BR"/>
        </w:rPr>
        <w:t xml:space="preserve">Fechadura para gaveta, dimensões aproximadas de 32 x 17 mm, confeccionada em aço e/ou zamak, acabamento niquelado, cor prata, ou de qualidade superior.</w:t>
      </w:r>
      <w:r>
        <w:rPr>
          <w:szCs w:val="20"/>
          <w:lang w:val="pt-BR"/>
        </w:rPr>
      </w:r>
    </w:p>
    <w:p>
      <w:pPr>
        <w:pStyle w:val="1099"/>
        <w:pBdr/>
        <w:spacing w:after="0" w:before="0"/>
        <w:ind/>
        <w:jc w:val="both"/>
        <w:rPr>
          <w:szCs w:val="20"/>
          <w:lang w:val="pt-BR"/>
        </w:rPr>
      </w:pPr>
      <w:r>
        <w:rPr>
          <w:b/>
          <w:bCs/>
          <w:szCs w:val="20"/>
          <w:lang w:val="pt-BR"/>
        </w:rPr>
        <w:t xml:space="preserve">12.14.2. </w:t>
      </w:r>
      <w:r>
        <w:rPr>
          <w:szCs w:val="20"/>
          <w:lang w:val="pt-BR"/>
        </w:rPr>
        <w:t xml:space="preserve">Sistema com chave fixa, com acabamento em plástico polido resistente.</w:t>
      </w:r>
      <w:r>
        <w:rPr>
          <w:szCs w:val="20"/>
          <w:lang w:val="pt-BR"/>
        </w:rPr>
      </w:r>
    </w:p>
    <w:p>
      <w:pPr>
        <w:pStyle w:val="1099"/>
        <w:pBdr/>
        <w:spacing w:after="0" w:before="0"/>
        <w:ind/>
        <w:jc w:val="both"/>
        <w:rPr>
          <w:szCs w:val="20"/>
          <w:lang w:val="pt-BR"/>
        </w:rPr>
      </w:pPr>
      <w:r>
        <w:rPr>
          <w:b/>
          <w:bCs/>
          <w:szCs w:val="20"/>
          <w:lang w:val="pt-BR"/>
        </w:rPr>
        <w:t xml:space="preserve">12.14.3.</w:t>
      </w:r>
      <w:r>
        <w:rPr>
          <w:szCs w:val="20"/>
          <w:lang w:val="pt-BR"/>
        </w:rPr>
        <w:t xml:space="preserve"> Rotação da chave de 180°, garantindo travamento seguro e funcionamento suave.</w:t>
      </w:r>
      <w:r>
        <w:rPr>
          <w:szCs w:val="20"/>
          <w:lang w:val="pt-BR"/>
        </w:rPr>
      </w:r>
    </w:p>
    <w:p>
      <w:pPr>
        <w:pStyle w:val="1099"/>
        <w:pBdr/>
        <w:spacing w:after="0" w:before="0"/>
        <w:ind/>
        <w:jc w:val="both"/>
        <w:rPr>
          <w:szCs w:val="20"/>
          <w:lang w:val="pt-BR"/>
        </w:rPr>
      </w:pPr>
      <w:r>
        <w:rPr>
          <w:b/>
          <w:bCs/>
          <w:szCs w:val="20"/>
          <w:lang w:val="pt-BR"/>
        </w:rPr>
        <w:t xml:space="preserve">12.14.4. </w:t>
      </w:r>
      <w:r>
        <w:rPr>
          <w:szCs w:val="20"/>
          <w:lang w:val="pt-BR"/>
        </w:rPr>
        <w:t xml:space="preserve">Produto deverá apresentar resistência à corrosão e adequado padrão de acabamento superficial.</w:t>
      </w:r>
      <w:r>
        <w:rPr>
          <w:szCs w:val="20"/>
          <w:lang w:val="pt-BR"/>
        </w:rPr>
      </w:r>
    </w:p>
    <w:p>
      <w:pPr>
        <w:pStyle w:val="1099"/>
        <w:pBdr/>
        <w:spacing w:after="0" w:before="0"/>
        <w:ind/>
        <w:jc w:val="both"/>
        <w:rPr>
          <w:b/>
          <w:bCs/>
          <w:szCs w:val="20"/>
          <w:lang w:val="pt-BR"/>
        </w:rPr>
      </w:pPr>
      <w:r>
        <w:rPr>
          <w:b/>
          <w:bCs/>
          <w:szCs w:val="20"/>
          <w:lang w:val="pt-BR"/>
        </w:rPr>
        <w:t xml:space="preserve">12.15. FITA DE BORDA </w:t>
      </w:r>
      <w:r>
        <w:rPr>
          <w:b/>
          <w:bCs/>
          <w:szCs w:val="20"/>
          <w:lang w:val="pt-BR"/>
        </w:rPr>
        <w:t xml:space="preserve">PVC 0,40 MM – 22 MM X 300 M</w:t>
      </w:r>
      <w:r>
        <w:rPr>
          <w:b/>
          <w:bCs/>
          <w:szCs w:val="20"/>
          <w:lang w:val="pt-BR"/>
        </w:rPr>
      </w:r>
    </w:p>
    <w:p>
      <w:pPr>
        <w:pStyle w:val="1099"/>
        <w:pBdr/>
        <w:spacing w:after="0" w:before="0"/>
        <w:ind/>
        <w:jc w:val="both"/>
        <w:rPr>
          <w:szCs w:val="20"/>
          <w:lang w:val="pt-BR"/>
        </w:rPr>
      </w:pPr>
      <w:r>
        <w:rPr>
          <w:b/>
          <w:bCs/>
          <w:szCs w:val="20"/>
          <w:lang w:val="pt-BR"/>
        </w:rPr>
        <w:t xml:space="preserve">12.15.1. </w:t>
      </w:r>
      <w:r>
        <w:rPr>
          <w:szCs w:val="20"/>
          <w:lang w:val="pt-BR"/>
        </w:rPr>
        <w:t xml:space="preserve">Fita de borda em PVC, espessura mínima de 0,40 mm, largura de 22 mm, rolo com 300 metros, cor branco, acabamento texturizado, ou de qualidade superior.</w:t>
      </w:r>
      <w:r>
        <w:rPr>
          <w:szCs w:val="20"/>
          <w:lang w:val="pt-BR"/>
        </w:rPr>
      </w:r>
    </w:p>
    <w:p>
      <w:pPr>
        <w:pStyle w:val="1099"/>
        <w:pBdr/>
        <w:spacing w:after="0" w:before="0"/>
        <w:ind/>
        <w:jc w:val="both"/>
        <w:rPr>
          <w:szCs w:val="20"/>
          <w:lang w:val="pt-BR"/>
        </w:rPr>
      </w:pPr>
      <w:r>
        <w:rPr>
          <w:b/>
          <w:bCs/>
          <w:szCs w:val="20"/>
          <w:lang w:val="pt-BR"/>
        </w:rPr>
        <w:t xml:space="preserve">12.15.2. </w:t>
      </w:r>
      <w:r>
        <w:rPr>
          <w:szCs w:val="20"/>
          <w:lang w:val="pt-BR"/>
        </w:rPr>
        <w:t xml:space="preserve">Produto flexível, resistente a impactos moderados, umidade e variações térmicas.</w:t>
      </w:r>
      <w:r>
        <w:rPr>
          <w:szCs w:val="20"/>
          <w:lang w:val="pt-BR"/>
        </w:rPr>
      </w:r>
    </w:p>
    <w:p>
      <w:pPr>
        <w:pStyle w:val="1099"/>
        <w:pBdr/>
        <w:spacing w:after="0" w:before="0"/>
        <w:ind/>
        <w:jc w:val="both"/>
        <w:rPr>
          <w:szCs w:val="20"/>
          <w:lang w:val="pt-BR"/>
        </w:rPr>
      </w:pPr>
      <w:r>
        <w:rPr>
          <w:b/>
          <w:bCs/>
          <w:szCs w:val="20"/>
          <w:lang w:val="pt-BR"/>
        </w:rPr>
        <w:t xml:space="preserve">12.15.3. </w:t>
      </w:r>
      <w:r>
        <w:rPr>
          <w:szCs w:val="20"/>
          <w:lang w:val="pt-BR"/>
        </w:rPr>
        <w:t xml:space="preserve">Indicado para aplicação em MDF, MDP e aglomerados.</w:t>
      </w:r>
      <w:r>
        <w:rPr>
          <w:szCs w:val="20"/>
          <w:lang w:val="pt-BR"/>
        </w:rPr>
      </w:r>
    </w:p>
    <w:p>
      <w:pPr>
        <w:pStyle w:val="1099"/>
        <w:pBdr/>
        <w:spacing w:after="0" w:before="0"/>
        <w:ind/>
        <w:jc w:val="both"/>
        <w:rPr>
          <w:b/>
          <w:bCs/>
          <w:szCs w:val="20"/>
          <w:lang w:val="pt-BR"/>
        </w:rPr>
      </w:pPr>
      <w:r>
        <w:rPr>
          <w:b/>
          <w:bCs/>
          <w:szCs w:val="20"/>
          <w:lang w:val="pt-BR"/>
        </w:rPr>
        <w:t xml:space="preserve">12.16. FITA DE BORDA PVC 0,40 MM – 65 MM X 20 M</w:t>
      </w:r>
      <w:r>
        <w:rPr>
          <w:b/>
          <w:bCs/>
          <w:szCs w:val="20"/>
          <w:lang w:val="pt-BR"/>
        </w:rPr>
      </w:r>
    </w:p>
    <w:p>
      <w:pPr>
        <w:pStyle w:val="1099"/>
        <w:pBdr/>
        <w:spacing w:after="0" w:before="0"/>
        <w:ind/>
        <w:jc w:val="both"/>
        <w:rPr>
          <w:szCs w:val="20"/>
          <w:lang w:val="pt-BR"/>
        </w:rPr>
      </w:pPr>
      <w:r>
        <w:rPr>
          <w:b/>
          <w:bCs/>
          <w:szCs w:val="20"/>
          <w:lang w:val="pt-BR"/>
        </w:rPr>
        <w:t xml:space="preserve">12.16.1.</w:t>
      </w:r>
      <w:r>
        <w:rPr>
          <w:szCs w:val="20"/>
          <w:lang w:val="pt-BR"/>
        </w:rPr>
        <w:t xml:space="preserve"> Fita de borda em PVC, espessura mínima de 0,40 mm, largura de 65 mm, rolo com 20 metros, cor branco, acabamento text</w:t>
      </w:r>
      <w:r>
        <w:rPr>
          <w:szCs w:val="20"/>
          <w:lang w:val="pt-BR"/>
        </w:rPr>
        <w:t xml:space="preserve">urizado, ou de qualidade superior.</w:t>
      </w:r>
      <w:r>
        <w:rPr>
          <w:szCs w:val="20"/>
          <w:lang w:val="pt-BR"/>
        </w:rPr>
      </w:r>
    </w:p>
    <w:p>
      <w:pPr>
        <w:pStyle w:val="1099"/>
        <w:pBdr/>
        <w:spacing w:after="0" w:before="0"/>
        <w:ind/>
        <w:jc w:val="both"/>
        <w:rPr>
          <w:szCs w:val="20"/>
          <w:lang w:val="pt-BR"/>
        </w:rPr>
      </w:pPr>
      <w:r>
        <w:rPr>
          <w:b/>
          <w:bCs/>
          <w:szCs w:val="20"/>
          <w:lang w:val="pt-BR"/>
        </w:rPr>
        <w:t xml:space="preserve">12.16.2.</w:t>
      </w:r>
      <w:r>
        <w:rPr>
          <w:szCs w:val="20"/>
          <w:lang w:val="pt-BR"/>
        </w:rPr>
        <w:t xml:space="preserve"> Deverá apresentar uniformidade de cor, espessura e textura.</w:t>
      </w:r>
      <w:r>
        <w:rPr>
          <w:szCs w:val="20"/>
          <w:lang w:val="pt-BR"/>
        </w:rPr>
      </w:r>
    </w:p>
    <w:p>
      <w:pPr>
        <w:pStyle w:val="1099"/>
        <w:pBdr/>
        <w:spacing w:after="0" w:before="0"/>
        <w:ind/>
        <w:jc w:val="both"/>
        <w:rPr>
          <w:b/>
          <w:bCs/>
          <w:szCs w:val="20"/>
          <w:lang w:val="pt-BR"/>
        </w:rPr>
      </w:pPr>
      <w:r>
        <w:rPr>
          <w:b/>
          <w:bCs/>
          <w:szCs w:val="20"/>
          <w:lang w:val="pt-BR"/>
        </w:rPr>
        <w:t xml:space="preserve">12.17. FITA DE BORDA PVC 0,45 MM – 22 MM X 20 M</w:t>
      </w:r>
      <w:r>
        <w:rPr>
          <w:b/>
          <w:bCs/>
          <w:szCs w:val="20"/>
          <w:lang w:val="pt-BR"/>
        </w:rPr>
      </w:r>
    </w:p>
    <w:p>
      <w:pPr>
        <w:pStyle w:val="1099"/>
        <w:pBdr/>
        <w:spacing w:after="0" w:before="0"/>
        <w:ind/>
        <w:jc w:val="both"/>
        <w:rPr>
          <w:szCs w:val="20"/>
          <w:lang w:val="pt-BR"/>
        </w:rPr>
      </w:pPr>
      <w:r>
        <w:rPr>
          <w:b/>
          <w:bCs/>
          <w:szCs w:val="20"/>
          <w:lang w:val="pt-BR"/>
        </w:rPr>
        <w:t xml:space="preserve">12.17.1.</w:t>
      </w:r>
      <w:r>
        <w:rPr>
          <w:szCs w:val="20"/>
          <w:lang w:val="pt-BR"/>
        </w:rPr>
        <w:t xml:space="preserve"> Fita de borda em PVC, espessura mínima de 0,45 mm, largura de 22 mm, rolo com 20 metros, tonalidade marrom dourado, acabamento texturizado, ou de qualidade superior.</w:t>
      </w:r>
      <w:r>
        <w:rPr>
          <w:szCs w:val="20"/>
          <w:lang w:val="pt-BR"/>
        </w:rPr>
      </w:r>
    </w:p>
    <w:p>
      <w:pPr>
        <w:pStyle w:val="1099"/>
        <w:pBdr/>
        <w:spacing w:after="0" w:before="0"/>
        <w:ind/>
        <w:jc w:val="both"/>
        <w:rPr>
          <w:szCs w:val="20"/>
          <w:lang w:val="pt-BR"/>
        </w:rPr>
      </w:pPr>
      <w:r>
        <w:rPr>
          <w:b/>
          <w:bCs/>
          <w:szCs w:val="20"/>
          <w:lang w:val="pt-BR"/>
        </w:rPr>
        <w:t xml:space="preserve">12.17.2.</w:t>
      </w:r>
      <w:r>
        <w:rPr>
          <w:szCs w:val="20"/>
          <w:lang w:val="pt-BR"/>
        </w:rPr>
        <w:t xml:space="preserve"> Padrão decorativo compatível com acabamento tipo madeira nogueira.</w:t>
      </w:r>
      <w:r>
        <w:rPr>
          <w:szCs w:val="20"/>
          <w:lang w:val="pt-BR"/>
        </w:rPr>
      </w:r>
    </w:p>
    <w:p>
      <w:pPr>
        <w:pStyle w:val="1099"/>
        <w:pBdr/>
        <w:spacing w:after="0" w:before="0"/>
        <w:ind/>
        <w:jc w:val="both"/>
        <w:rPr>
          <w:b/>
          <w:bCs/>
          <w:szCs w:val="20"/>
          <w:lang w:val="pt-BR"/>
        </w:rPr>
      </w:pPr>
      <w:r>
        <w:rPr>
          <w:b/>
          <w:bCs/>
          <w:szCs w:val="20"/>
          <w:lang w:val="pt-BR"/>
        </w:rPr>
        <w:t xml:space="preserve">12.18. FURADEIRA DE BANCADA</w:t>
      </w:r>
      <w:r>
        <w:rPr>
          <w:b/>
          <w:bCs/>
          <w:szCs w:val="20"/>
          <w:lang w:val="pt-BR"/>
        </w:rPr>
      </w:r>
    </w:p>
    <w:p>
      <w:pPr>
        <w:pStyle w:val="1099"/>
        <w:pBdr/>
        <w:spacing w:after="0" w:before="0"/>
        <w:ind/>
        <w:jc w:val="both"/>
        <w:rPr>
          <w:szCs w:val="20"/>
          <w:lang w:val="pt-BR"/>
        </w:rPr>
      </w:pPr>
      <w:r>
        <w:rPr>
          <w:b/>
          <w:bCs/>
          <w:szCs w:val="20"/>
          <w:lang w:val="pt-BR"/>
        </w:rPr>
        <w:t xml:space="preserve">12.18.1.</w:t>
      </w:r>
      <w:r>
        <w:rPr>
          <w:szCs w:val="20"/>
          <w:lang w:val="pt-BR"/>
        </w:rPr>
        <w:t xml:space="preserve"> Furadeira de bancada com ajuste de altura da mesa, motor com potência mí</w:t>
      </w:r>
      <w:r>
        <w:rPr>
          <w:szCs w:val="20"/>
          <w:lang w:val="pt-BR"/>
        </w:rPr>
        <w:t xml:space="preserve">nima de 1/2 HP, rotação aproximada de 1.740 RPM / 60 Hz, ou de qualidade superior.</w:t>
      </w:r>
      <w:r>
        <w:rPr>
          <w:szCs w:val="20"/>
          <w:lang w:val="pt-BR"/>
        </w:rPr>
      </w:r>
    </w:p>
    <w:p>
      <w:pPr>
        <w:pStyle w:val="1099"/>
        <w:pBdr/>
        <w:spacing w:after="0" w:before="0"/>
        <w:ind/>
        <w:jc w:val="both"/>
        <w:rPr>
          <w:szCs w:val="20"/>
          <w:lang w:val="pt-BR"/>
        </w:rPr>
      </w:pPr>
      <w:r>
        <w:rPr>
          <w:b/>
          <w:bCs/>
          <w:szCs w:val="20"/>
          <w:lang w:val="pt-BR"/>
        </w:rPr>
        <w:t xml:space="preserve">12.18.2.</w:t>
      </w:r>
      <w:r>
        <w:rPr>
          <w:szCs w:val="20"/>
          <w:lang w:val="pt-BR"/>
        </w:rPr>
        <w:t xml:space="preserve"> Mandril mínimo de 5/8”, capacidade de perfuração mínima de 16 mm e profundidade mínima de 110 mm.</w:t>
      </w:r>
      <w:r>
        <w:rPr>
          <w:szCs w:val="20"/>
          <w:lang w:val="pt-BR"/>
        </w:rPr>
      </w:r>
    </w:p>
    <w:p>
      <w:pPr>
        <w:pStyle w:val="1099"/>
        <w:pBdr/>
        <w:spacing w:after="0" w:before="0"/>
        <w:ind/>
        <w:jc w:val="both"/>
        <w:rPr>
          <w:szCs w:val="20"/>
          <w:lang w:val="pt-BR"/>
        </w:rPr>
      </w:pPr>
      <w:r>
        <w:rPr>
          <w:b/>
          <w:bCs/>
          <w:szCs w:val="20"/>
          <w:lang w:val="pt-BR"/>
        </w:rPr>
        <w:t xml:space="preserve">12.18.3. </w:t>
      </w:r>
      <w:r>
        <w:rPr>
          <w:szCs w:val="20"/>
          <w:lang w:val="pt-BR"/>
        </w:rPr>
        <w:t xml:space="preserve">Mesa com dimensões mínimas de 200 x 190 mm.</w:t>
      </w:r>
      <w:r>
        <w:rPr>
          <w:szCs w:val="20"/>
          <w:lang w:val="pt-BR"/>
        </w:rPr>
      </w:r>
    </w:p>
    <w:p>
      <w:pPr>
        <w:pStyle w:val="1099"/>
        <w:pBdr/>
        <w:spacing w:after="0" w:before="0"/>
        <w:ind/>
        <w:jc w:val="both"/>
        <w:rPr>
          <w:szCs w:val="20"/>
          <w:lang w:val="pt-BR"/>
        </w:rPr>
      </w:pPr>
      <w:r>
        <w:rPr>
          <w:b/>
          <w:bCs/>
          <w:szCs w:val="20"/>
          <w:lang w:val="pt-BR"/>
        </w:rPr>
        <w:t xml:space="preserve">12.18.4. </w:t>
      </w:r>
      <w:r>
        <w:rPr>
          <w:szCs w:val="20"/>
          <w:lang w:val="pt-BR"/>
        </w:rPr>
        <w:t xml:space="preserve">Alimentação elétrica trifásica.</w:t>
      </w:r>
      <w:r>
        <w:rPr>
          <w:szCs w:val="20"/>
          <w:lang w:val="pt-BR"/>
        </w:rPr>
      </w:r>
    </w:p>
    <w:p>
      <w:pPr>
        <w:pStyle w:val="1099"/>
        <w:pBdr/>
        <w:spacing w:after="0" w:before="0"/>
        <w:ind/>
        <w:jc w:val="both"/>
        <w:rPr>
          <w:szCs w:val="20"/>
          <w:lang w:val="pt-BR"/>
        </w:rPr>
      </w:pPr>
      <w:r>
        <w:rPr>
          <w:b/>
          <w:bCs/>
          <w:szCs w:val="20"/>
          <w:lang w:val="pt-BR"/>
        </w:rPr>
        <w:t xml:space="preserve">12.18.5. </w:t>
      </w:r>
      <w:r>
        <w:rPr>
          <w:szCs w:val="20"/>
          <w:lang w:val="pt-BR"/>
        </w:rPr>
        <w:t xml:space="preserve">Produto com design ergonômico, estrutura robusta e estabilidade operacional.</w:t>
      </w:r>
      <w:r>
        <w:rPr>
          <w:szCs w:val="20"/>
          <w:lang w:val="pt-BR"/>
        </w:rPr>
      </w:r>
    </w:p>
    <w:p>
      <w:pPr>
        <w:pStyle w:val="1099"/>
        <w:pBdr/>
        <w:spacing w:after="0" w:before="0"/>
        <w:ind/>
        <w:jc w:val="both"/>
        <w:rPr>
          <w:szCs w:val="20"/>
          <w:lang w:val="pt-BR"/>
        </w:rPr>
      </w:pPr>
      <w:r>
        <w:rPr>
          <w:b/>
          <w:bCs/>
          <w:szCs w:val="20"/>
          <w:lang w:val="pt-BR"/>
        </w:rPr>
        <w:t xml:space="preserve">12.18.6.</w:t>
      </w:r>
      <w:r>
        <w:rPr>
          <w:szCs w:val="20"/>
          <w:lang w:val="pt-BR"/>
        </w:rPr>
        <w:t xml:space="preserve"> Garantia mínima de 12 meses do fabricante.</w:t>
      </w:r>
      <w:r>
        <w:rPr>
          <w:szCs w:val="20"/>
          <w:lang w:val="pt-BR"/>
        </w:rPr>
      </w:r>
    </w:p>
    <w:p>
      <w:pPr>
        <w:pStyle w:val="1099"/>
        <w:pBdr/>
        <w:spacing w:after="0" w:before="0"/>
        <w:ind/>
        <w:jc w:val="both"/>
        <w:rPr>
          <w:b/>
          <w:bCs/>
          <w:szCs w:val="20"/>
          <w:lang w:val="pt-BR"/>
        </w:rPr>
      </w:pPr>
      <w:r>
        <w:rPr>
          <w:b/>
          <w:bCs/>
          <w:szCs w:val="20"/>
          <w:lang w:val="pt-BR"/>
        </w:rPr>
        <w:t xml:space="preserve">12.19. FURADEIRA E PARAFUSADEIRA DE IMPACTO A BATERIA</w:t>
      </w:r>
      <w:r>
        <w:rPr>
          <w:b/>
          <w:bCs/>
          <w:szCs w:val="20"/>
          <w:lang w:val="pt-BR"/>
        </w:rPr>
      </w:r>
    </w:p>
    <w:p>
      <w:pPr>
        <w:pStyle w:val="1099"/>
        <w:pBdr/>
        <w:spacing w:after="0" w:before="0"/>
        <w:ind/>
        <w:jc w:val="both"/>
        <w:rPr>
          <w:szCs w:val="20"/>
          <w:lang w:val="pt-BR"/>
        </w:rPr>
      </w:pPr>
      <w:r>
        <w:rPr>
          <w:b/>
          <w:bCs/>
          <w:szCs w:val="20"/>
          <w:lang w:val="pt-BR"/>
        </w:rPr>
        <w:t xml:space="preserve">12.19.1.</w:t>
      </w:r>
      <w:r>
        <w:rPr>
          <w:szCs w:val="20"/>
          <w:lang w:val="pt-BR"/>
        </w:rPr>
        <w:t xml:space="preserve"> Equipamento com tensão de b</w:t>
      </w:r>
      <w:r>
        <w:rPr>
          <w:szCs w:val="20"/>
          <w:lang w:val="pt-BR"/>
        </w:rPr>
        <w:t xml:space="preserve">ateria 20V MAX (18V nominal) ou equivalente, torque máximo mínimo de 60 Nm, ou de qualidade superior.</w:t>
      </w:r>
      <w:r>
        <w:rPr>
          <w:szCs w:val="20"/>
          <w:lang w:val="pt-BR"/>
        </w:rPr>
      </w:r>
    </w:p>
    <w:p>
      <w:pPr>
        <w:pStyle w:val="1099"/>
        <w:pBdr/>
        <w:spacing w:after="0" w:before="0"/>
        <w:ind/>
        <w:jc w:val="both"/>
        <w:rPr>
          <w:szCs w:val="20"/>
          <w:lang w:val="pt-BR"/>
        </w:rPr>
      </w:pPr>
      <w:r>
        <w:rPr>
          <w:b/>
          <w:bCs/>
          <w:szCs w:val="20"/>
          <w:lang w:val="pt-BR"/>
        </w:rPr>
        <w:t xml:space="preserve">12.19.2.</w:t>
      </w:r>
      <w:r>
        <w:rPr>
          <w:szCs w:val="20"/>
          <w:lang w:val="pt-BR"/>
        </w:rPr>
        <w:t xml:space="preserve"> Velocidade sem carga: 0–600 / 0–2.000 RPM; impactos por minuto: 0–10.200 / 0–34.000 IPM.</w:t>
      </w:r>
      <w:r>
        <w:rPr>
          <w:szCs w:val="20"/>
          <w:lang w:val="pt-BR"/>
        </w:rPr>
      </w:r>
    </w:p>
    <w:p>
      <w:pPr>
        <w:pStyle w:val="1099"/>
        <w:pBdr/>
        <w:spacing w:after="0" w:before="0"/>
        <w:ind/>
        <w:jc w:val="both"/>
        <w:rPr>
          <w:szCs w:val="20"/>
          <w:lang w:val="pt-BR"/>
        </w:rPr>
      </w:pPr>
      <w:r>
        <w:rPr>
          <w:b/>
          <w:bCs/>
          <w:szCs w:val="20"/>
          <w:lang w:val="pt-BR"/>
        </w:rPr>
        <w:t xml:space="preserve">12.19.3. </w:t>
      </w:r>
      <w:r>
        <w:rPr>
          <w:szCs w:val="20"/>
          <w:lang w:val="pt-BR"/>
        </w:rPr>
        <w:t xml:space="preserve">Mandril de aperto rápido 1/2” (13 mm), 2 velocidades mecânicas.</w:t>
      </w:r>
      <w:r>
        <w:rPr>
          <w:szCs w:val="20"/>
          <w:lang w:val="pt-BR"/>
        </w:rPr>
      </w:r>
    </w:p>
    <w:p>
      <w:pPr>
        <w:pStyle w:val="1099"/>
        <w:pBdr/>
        <w:spacing w:after="0" w:before="0"/>
        <w:ind/>
        <w:jc w:val="both"/>
        <w:rPr>
          <w:szCs w:val="20"/>
          <w:lang w:val="pt-BR"/>
        </w:rPr>
      </w:pPr>
      <w:r>
        <w:rPr>
          <w:b/>
          <w:bCs/>
          <w:szCs w:val="20"/>
          <w:lang w:val="pt-BR"/>
        </w:rPr>
        <w:t xml:space="preserve">12.19.4.</w:t>
      </w:r>
      <w:r>
        <w:rPr>
          <w:szCs w:val="20"/>
          <w:lang w:val="pt-BR"/>
        </w:rPr>
        <w:t xml:space="preserve"> Capacidade mínima de perfuração: madeira 38 mm; aço 13 mm; alvenaria 13 mm.</w:t>
      </w:r>
      <w:r>
        <w:rPr>
          <w:szCs w:val="20"/>
          <w:lang w:val="pt-BR"/>
        </w:rPr>
      </w:r>
    </w:p>
    <w:p>
      <w:pPr>
        <w:pStyle w:val="1099"/>
        <w:pBdr/>
        <w:spacing w:after="0" w:before="0"/>
        <w:ind/>
        <w:jc w:val="both"/>
        <w:rPr>
          <w:szCs w:val="20"/>
          <w:lang w:val="pt-BR"/>
        </w:rPr>
      </w:pPr>
      <w:r>
        <w:rPr>
          <w:b/>
          <w:bCs/>
          <w:szCs w:val="20"/>
          <w:lang w:val="pt-BR"/>
        </w:rPr>
        <w:t xml:space="preserve">12.19.5. </w:t>
      </w:r>
      <w:r>
        <w:rPr>
          <w:szCs w:val="20"/>
          <w:lang w:val="pt-BR"/>
        </w:rPr>
        <w:t xml:space="preserve">Kit contendo 2 baterias, carregador compatível, maleta plástica e manual em português.</w:t>
      </w:r>
      <w:r>
        <w:rPr>
          <w:szCs w:val="20"/>
          <w:lang w:val="pt-BR"/>
        </w:rPr>
      </w:r>
    </w:p>
    <w:p>
      <w:pPr>
        <w:pStyle w:val="1099"/>
        <w:pBdr/>
        <w:spacing w:after="0" w:before="0"/>
        <w:ind/>
        <w:jc w:val="both"/>
        <w:rPr>
          <w:szCs w:val="20"/>
          <w:lang w:val="pt-BR"/>
        </w:rPr>
      </w:pPr>
      <w:r>
        <w:rPr>
          <w:b/>
          <w:bCs/>
          <w:szCs w:val="20"/>
          <w:lang w:val="pt-BR"/>
        </w:rPr>
        <w:t xml:space="preserve">12.19.6. </w:t>
      </w:r>
      <w:r>
        <w:rPr>
          <w:szCs w:val="20"/>
          <w:lang w:val="pt-BR"/>
        </w:rPr>
        <w:t xml:space="preserve">Garantia mínima de 12 meses.</w:t>
      </w:r>
      <w:r>
        <w:rPr>
          <w:szCs w:val="20"/>
          <w:lang w:val="pt-BR"/>
        </w:rPr>
      </w:r>
    </w:p>
    <w:p>
      <w:pPr>
        <w:pStyle w:val="1099"/>
        <w:pBdr/>
        <w:spacing w:after="0" w:before="0"/>
        <w:ind/>
        <w:jc w:val="both"/>
        <w:rPr>
          <w:b/>
          <w:bCs/>
          <w:szCs w:val="20"/>
          <w:lang w:val="pt-BR"/>
        </w:rPr>
      </w:pPr>
      <w:r>
        <w:rPr>
          <w:b/>
          <w:bCs/>
          <w:szCs w:val="20"/>
          <w:lang w:val="pt-BR"/>
        </w:rPr>
        <w:t xml:space="preserve">12.20. MARTELETE PER</w:t>
      </w:r>
      <w:r>
        <w:rPr>
          <w:b/>
          <w:bCs/>
          <w:szCs w:val="20"/>
          <w:lang w:val="pt-BR"/>
        </w:rPr>
        <w:t xml:space="preserve">FURADOR ROMPEDOR</w:t>
      </w:r>
      <w:r>
        <w:rPr>
          <w:b/>
          <w:bCs/>
          <w:szCs w:val="20"/>
          <w:lang w:val="pt-BR"/>
        </w:rPr>
      </w:r>
    </w:p>
    <w:p>
      <w:pPr>
        <w:pStyle w:val="1099"/>
        <w:pBdr/>
        <w:spacing w:after="0" w:before="0"/>
        <w:ind/>
        <w:jc w:val="both"/>
        <w:rPr>
          <w:szCs w:val="20"/>
          <w:lang w:val="pt-BR"/>
        </w:rPr>
      </w:pPr>
      <w:r>
        <w:rPr>
          <w:b/>
          <w:bCs/>
          <w:szCs w:val="20"/>
          <w:lang w:val="pt-BR"/>
        </w:rPr>
        <w:t xml:space="preserve">12.20.1.</w:t>
      </w:r>
      <w:r>
        <w:rPr>
          <w:szCs w:val="20"/>
          <w:lang w:val="pt-BR"/>
        </w:rPr>
        <w:t xml:space="preserve"> Martelete tipo perfurador rompedor, potência mínima de 800 W, energia de impacto mínima de 2,9 J, ou de qualidade superior.</w:t>
      </w:r>
      <w:r>
        <w:rPr>
          <w:szCs w:val="20"/>
          <w:lang w:val="pt-BR"/>
        </w:rPr>
      </w:r>
    </w:p>
    <w:p>
      <w:pPr>
        <w:pStyle w:val="1099"/>
        <w:pBdr/>
        <w:spacing w:after="0" w:before="0"/>
        <w:ind/>
        <w:jc w:val="both"/>
        <w:rPr>
          <w:szCs w:val="20"/>
          <w:lang w:val="pt-BR"/>
        </w:rPr>
      </w:pPr>
      <w:r>
        <w:rPr>
          <w:b/>
          <w:bCs/>
          <w:szCs w:val="20"/>
          <w:lang w:val="pt-BR"/>
        </w:rPr>
        <w:t xml:space="preserve">12.20.2.</w:t>
      </w:r>
      <w:r>
        <w:rPr>
          <w:szCs w:val="20"/>
          <w:lang w:val="pt-BR"/>
        </w:rPr>
        <w:t xml:space="preserve"> Sistema de encaixe SDS-Plus.</w:t>
      </w:r>
      <w:r>
        <w:rPr>
          <w:szCs w:val="20"/>
          <w:lang w:val="pt-BR"/>
        </w:rPr>
      </w:r>
    </w:p>
    <w:p>
      <w:pPr>
        <w:pStyle w:val="1099"/>
        <w:pBdr/>
        <w:spacing w:after="0" w:before="0"/>
        <w:ind/>
        <w:jc w:val="both"/>
        <w:rPr>
          <w:szCs w:val="20"/>
          <w:lang w:val="pt-BR"/>
        </w:rPr>
      </w:pPr>
      <w:r>
        <w:rPr>
          <w:b/>
          <w:bCs/>
          <w:szCs w:val="20"/>
          <w:lang w:val="pt-BR"/>
        </w:rPr>
        <w:t xml:space="preserve">12.20.3. </w:t>
      </w:r>
      <w:r>
        <w:rPr>
          <w:szCs w:val="20"/>
          <w:lang w:val="pt-BR"/>
        </w:rPr>
        <w:t xml:space="preserve">Tensão 220 V ou bivolt.</w:t>
      </w:r>
      <w:r>
        <w:rPr>
          <w:szCs w:val="20"/>
          <w:lang w:val="pt-BR"/>
        </w:rPr>
      </w:r>
    </w:p>
    <w:p>
      <w:pPr>
        <w:pStyle w:val="1099"/>
        <w:pBdr/>
        <w:spacing w:after="0" w:before="0"/>
        <w:ind/>
        <w:jc w:val="both"/>
        <w:rPr>
          <w:szCs w:val="20"/>
          <w:lang w:val="pt-BR"/>
        </w:rPr>
      </w:pPr>
      <w:r>
        <w:rPr>
          <w:b/>
          <w:bCs/>
          <w:szCs w:val="20"/>
          <w:lang w:val="pt-BR"/>
        </w:rPr>
        <w:t xml:space="preserve">12.20.4. </w:t>
      </w:r>
      <w:r>
        <w:rPr>
          <w:szCs w:val="20"/>
          <w:lang w:val="pt-BR"/>
        </w:rPr>
        <w:t xml:space="preserve">Acompanhado de maleta para transporte.</w:t>
      </w:r>
      <w:r>
        <w:rPr>
          <w:szCs w:val="20"/>
          <w:lang w:val="pt-BR"/>
        </w:rPr>
      </w:r>
    </w:p>
    <w:p>
      <w:pPr>
        <w:pStyle w:val="1099"/>
        <w:pBdr/>
        <w:spacing w:after="0" w:before="0"/>
        <w:ind/>
        <w:jc w:val="both"/>
        <w:rPr>
          <w:b/>
          <w:bCs/>
          <w:szCs w:val="20"/>
          <w:lang w:val="pt-BR"/>
        </w:rPr>
      </w:pPr>
      <w:r>
        <w:rPr>
          <w:b/>
          <w:bCs/>
          <w:szCs w:val="20"/>
          <w:lang w:val="pt-BR"/>
        </w:rPr>
        <w:t xml:space="preserve">12.21. PARAFUSO CHIPBOARD 3,5 X 25 MM</w:t>
      </w:r>
      <w:r>
        <w:rPr>
          <w:b/>
          <w:bCs/>
          <w:szCs w:val="20"/>
          <w:lang w:val="pt-BR"/>
        </w:rPr>
      </w:r>
    </w:p>
    <w:p>
      <w:pPr>
        <w:pStyle w:val="1099"/>
        <w:pBdr/>
        <w:spacing w:after="0" w:before="0"/>
        <w:ind/>
        <w:jc w:val="both"/>
        <w:rPr>
          <w:szCs w:val="20"/>
          <w:lang w:val="pt-BR"/>
        </w:rPr>
      </w:pPr>
      <w:r>
        <w:rPr>
          <w:b/>
          <w:bCs/>
          <w:szCs w:val="20"/>
          <w:lang w:val="pt-BR"/>
        </w:rPr>
        <w:t xml:space="preserve">12.21.1.</w:t>
      </w:r>
      <w:r>
        <w:rPr>
          <w:szCs w:val="20"/>
          <w:lang w:val="pt-BR"/>
        </w:rPr>
        <w:t xml:space="preserve"> Parafuso rosca chipboard, cabeça chata, dimensões 3,5 x 25 mm, aço carbono, acabamento bicromatizado, ou de qualidade superior.</w:t>
      </w:r>
      <w:r>
        <w:rPr>
          <w:szCs w:val="20"/>
          <w:lang w:val="pt-BR"/>
        </w:rPr>
      </w:r>
    </w:p>
    <w:p>
      <w:pPr>
        <w:pStyle w:val="1099"/>
        <w:pBdr/>
        <w:spacing w:after="0" w:before="0"/>
        <w:ind/>
        <w:jc w:val="both"/>
        <w:rPr>
          <w:szCs w:val="20"/>
          <w:lang w:val="pt-BR"/>
        </w:rPr>
      </w:pPr>
      <w:r>
        <w:rPr>
          <w:b/>
          <w:bCs/>
          <w:szCs w:val="20"/>
          <w:lang w:val="pt-BR"/>
        </w:rPr>
        <w:t xml:space="preserve">12.21.2. </w:t>
      </w:r>
      <w:r>
        <w:rPr>
          <w:szCs w:val="20"/>
          <w:lang w:val="pt-BR"/>
        </w:rPr>
        <w:t xml:space="preserve">Embalagem com 1.000 (mil) unidades.</w:t>
      </w:r>
      <w:r>
        <w:rPr>
          <w:szCs w:val="20"/>
          <w:lang w:val="pt-BR"/>
        </w:rPr>
      </w:r>
    </w:p>
    <w:p>
      <w:pPr>
        <w:pStyle w:val="1099"/>
        <w:pBdr/>
        <w:spacing w:after="0" w:before="0"/>
        <w:ind/>
        <w:jc w:val="both"/>
        <w:rPr>
          <w:b/>
          <w:bCs/>
          <w:szCs w:val="20"/>
          <w:lang w:val="pt-BR"/>
        </w:rPr>
      </w:pPr>
      <w:r>
        <w:rPr>
          <w:b/>
          <w:bCs/>
          <w:szCs w:val="20"/>
          <w:lang w:val="pt-BR"/>
        </w:rPr>
        <w:t xml:space="preserve">12.22. PARAFUSO CHIPBOA</w:t>
      </w:r>
      <w:r>
        <w:rPr>
          <w:b/>
          <w:bCs/>
          <w:szCs w:val="20"/>
          <w:lang w:val="pt-BR"/>
        </w:rPr>
        <w:t xml:space="preserve">RD 3,5 X 35 MM</w:t>
      </w:r>
      <w:r>
        <w:rPr>
          <w:b/>
          <w:bCs/>
          <w:szCs w:val="20"/>
          <w:lang w:val="pt-BR"/>
        </w:rPr>
      </w:r>
    </w:p>
    <w:p>
      <w:pPr>
        <w:pStyle w:val="1099"/>
        <w:pBdr/>
        <w:spacing w:after="0" w:before="0"/>
        <w:ind/>
        <w:jc w:val="both"/>
        <w:rPr>
          <w:szCs w:val="20"/>
          <w:lang w:val="pt-BR"/>
        </w:rPr>
      </w:pPr>
      <w:r>
        <w:rPr>
          <w:b/>
          <w:bCs/>
          <w:szCs w:val="20"/>
          <w:lang w:val="pt-BR"/>
        </w:rPr>
        <w:t xml:space="preserve">12.22.1. </w:t>
      </w:r>
      <w:r>
        <w:rPr>
          <w:szCs w:val="20"/>
          <w:lang w:val="pt-BR"/>
        </w:rPr>
        <w:t xml:space="preserve">Parafuso rosca chipboard, cabeça chata, dimensões 3,5 x 35 mm, aço carbono, acabamento bicromatizado, ou de qualidade superior.</w:t>
      </w:r>
      <w:r>
        <w:rPr>
          <w:szCs w:val="20"/>
          <w:lang w:val="pt-BR"/>
        </w:rPr>
      </w:r>
    </w:p>
    <w:p>
      <w:pPr>
        <w:pStyle w:val="1099"/>
        <w:pBdr/>
        <w:spacing w:after="0" w:before="0"/>
        <w:ind/>
        <w:jc w:val="both"/>
        <w:rPr>
          <w:szCs w:val="20"/>
          <w:lang w:val="pt-BR"/>
        </w:rPr>
      </w:pPr>
      <w:r>
        <w:rPr>
          <w:b/>
          <w:bCs/>
          <w:szCs w:val="20"/>
          <w:lang w:val="pt-BR"/>
        </w:rPr>
        <w:t xml:space="preserve">12.22.2. </w:t>
      </w:r>
      <w:r>
        <w:rPr>
          <w:szCs w:val="20"/>
          <w:lang w:val="pt-BR"/>
        </w:rPr>
        <w:t xml:space="preserve">Embalagem com 500 (quinhentas) unidades.</w:t>
      </w:r>
      <w:r>
        <w:rPr>
          <w:szCs w:val="20"/>
          <w:lang w:val="pt-BR"/>
        </w:rPr>
      </w:r>
    </w:p>
    <w:p>
      <w:pPr>
        <w:pStyle w:val="1099"/>
        <w:pBdr/>
        <w:spacing w:after="0" w:before="0"/>
        <w:ind/>
        <w:jc w:val="both"/>
        <w:rPr>
          <w:szCs w:val="20"/>
          <w:lang w:val="pt-BR"/>
        </w:rPr>
      </w:pPr>
      <w:r>
        <w:rPr>
          <w:b/>
          <w:bCs/>
          <w:szCs w:val="20"/>
          <w:lang w:val="pt-BR"/>
        </w:rPr>
        <w:t xml:space="preserve">12.22.3.</w:t>
      </w:r>
      <w:r>
        <w:rPr>
          <w:szCs w:val="20"/>
          <w:lang w:val="pt-BR"/>
        </w:rPr>
        <w:t xml:space="preserve"> Indicado para fixação em madeira, MDF, MDP, compensados e materiais similares, devendo apresentar resistência mecânica compatível com o uso em marcenaria.</w:t>
      </w:r>
      <w:r>
        <w:rPr>
          <w:szCs w:val="20"/>
          <w:lang w:val="pt-BR"/>
        </w:rPr>
      </w:r>
    </w:p>
    <w:p>
      <w:pPr>
        <w:pStyle w:val="1099"/>
        <w:pBdr/>
        <w:spacing w:after="0" w:before="0"/>
        <w:ind/>
        <w:jc w:val="both"/>
        <w:rPr>
          <w:b/>
          <w:bCs/>
          <w:szCs w:val="20"/>
          <w:lang w:val="pt-BR"/>
        </w:rPr>
      </w:pPr>
      <w:r>
        <w:rPr>
          <w:b/>
          <w:bCs/>
          <w:szCs w:val="20"/>
          <w:lang w:val="pt-BR"/>
        </w:rPr>
        <w:t xml:space="preserve">12.23. PARAFUSO CHIPBOARD 3,5 X 40 MM</w:t>
      </w:r>
      <w:r>
        <w:rPr>
          <w:b/>
          <w:bCs/>
          <w:szCs w:val="20"/>
          <w:lang w:val="pt-BR"/>
        </w:rPr>
      </w:r>
    </w:p>
    <w:p>
      <w:pPr>
        <w:pStyle w:val="1099"/>
        <w:pBdr/>
        <w:spacing w:after="0" w:before="0"/>
        <w:ind/>
        <w:jc w:val="both"/>
        <w:rPr>
          <w:szCs w:val="20"/>
          <w:lang w:val="pt-BR"/>
        </w:rPr>
      </w:pPr>
      <w:r>
        <w:rPr>
          <w:b/>
          <w:bCs/>
          <w:szCs w:val="20"/>
          <w:lang w:val="pt-BR"/>
        </w:rPr>
        <w:t xml:space="preserve">12.23.1. </w:t>
      </w:r>
      <w:r>
        <w:rPr>
          <w:szCs w:val="20"/>
          <w:lang w:val="pt-BR"/>
        </w:rPr>
        <w:t xml:space="preserve">Parafuso rosca chipboard, cabeça chata, dimensões 3,5 x 40 mm, aço carbono, acabamento bicromatizad</w:t>
      </w:r>
      <w:r>
        <w:rPr>
          <w:szCs w:val="20"/>
          <w:lang w:val="pt-BR"/>
        </w:rPr>
        <w:t xml:space="preserve">o, ou de qualidade superior.</w:t>
      </w:r>
      <w:r>
        <w:rPr>
          <w:szCs w:val="20"/>
          <w:lang w:val="pt-BR"/>
        </w:rPr>
      </w:r>
    </w:p>
    <w:p>
      <w:pPr>
        <w:pStyle w:val="1099"/>
        <w:pBdr/>
        <w:spacing w:after="0" w:before="0"/>
        <w:ind/>
        <w:jc w:val="both"/>
        <w:rPr>
          <w:szCs w:val="20"/>
          <w:lang w:val="pt-BR"/>
        </w:rPr>
      </w:pPr>
      <w:r>
        <w:rPr>
          <w:b/>
          <w:bCs/>
          <w:szCs w:val="20"/>
          <w:lang w:val="pt-BR"/>
        </w:rPr>
        <w:t xml:space="preserve">12.23.2.</w:t>
      </w:r>
      <w:r>
        <w:rPr>
          <w:szCs w:val="20"/>
          <w:lang w:val="pt-BR"/>
        </w:rPr>
        <w:t xml:space="preserve"> Embalagem com 500 (quinhentas) unidades.</w:t>
      </w:r>
      <w:r>
        <w:rPr>
          <w:szCs w:val="20"/>
          <w:lang w:val="pt-BR"/>
        </w:rPr>
      </w:r>
    </w:p>
    <w:p>
      <w:pPr>
        <w:pStyle w:val="1099"/>
        <w:pBdr/>
        <w:spacing w:after="0" w:before="0"/>
        <w:ind/>
        <w:jc w:val="both"/>
        <w:rPr>
          <w:b/>
          <w:bCs/>
          <w:szCs w:val="20"/>
          <w:lang w:val="pt-BR"/>
        </w:rPr>
      </w:pPr>
      <w:r>
        <w:rPr>
          <w:b/>
          <w:bCs/>
          <w:szCs w:val="20"/>
          <w:lang w:val="pt-BR"/>
        </w:rPr>
        <w:t xml:space="preserve">12.24. PARAFUSO CHIPBOARD 4 X 16 MM</w:t>
      </w:r>
      <w:r>
        <w:rPr>
          <w:b/>
          <w:bCs/>
          <w:szCs w:val="20"/>
          <w:lang w:val="pt-BR"/>
        </w:rPr>
      </w:r>
    </w:p>
    <w:p>
      <w:pPr>
        <w:pStyle w:val="1099"/>
        <w:pBdr/>
        <w:spacing w:after="0" w:before="0"/>
        <w:ind/>
        <w:jc w:val="both"/>
        <w:rPr>
          <w:szCs w:val="20"/>
          <w:lang w:val="pt-BR"/>
        </w:rPr>
      </w:pPr>
      <w:r>
        <w:rPr>
          <w:b/>
          <w:bCs/>
          <w:szCs w:val="20"/>
          <w:lang w:val="pt-BR"/>
        </w:rPr>
        <w:t xml:space="preserve">12.24.1. </w:t>
      </w:r>
      <w:r>
        <w:rPr>
          <w:szCs w:val="20"/>
          <w:lang w:val="pt-BR"/>
        </w:rPr>
        <w:t xml:space="preserve">Parafuso rosca chipboard, cabeça chata, dimensões 4 x 16 mm, aço carbono, acabamento bicromatizado, ou de qualidade superior.</w:t>
      </w:r>
      <w:r>
        <w:rPr>
          <w:szCs w:val="20"/>
          <w:lang w:val="pt-BR"/>
        </w:rPr>
      </w:r>
    </w:p>
    <w:p>
      <w:pPr>
        <w:pStyle w:val="1099"/>
        <w:pBdr/>
        <w:spacing w:after="0" w:before="0"/>
        <w:ind/>
        <w:jc w:val="both"/>
        <w:rPr>
          <w:szCs w:val="20"/>
          <w:lang w:val="pt-BR"/>
        </w:rPr>
      </w:pPr>
      <w:r>
        <w:rPr>
          <w:b/>
          <w:bCs/>
          <w:szCs w:val="20"/>
          <w:lang w:val="pt-BR"/>
        </w:rPr>
        <w:t xml:space="preserve">12.24.2. </w:t>
      </w:r>
      <w:r>
        <w:rPr>
          <w:szCs w:val="20"/>
          <w:lang w:val="pt-BR"/>
        </w:rPr>
        <w:t xml:space="preserve">Embalagem com 500 (quinhentas) unidades.</w:t>
      </w:r>
      <w:r>
        <w:rPr>
          <w:szCs w:val="20"/>
          <w:lang w:val="pt-BR"/>
        </w:rPr>
      </w:r>
    </w:p>
    <w:p>
      <w:pPr>
        <w:pStyle w:val="1099"/>
        <w:pBdr/>
        <w:spacing w:after="0" w:before="0"/>
        <w:ind/>
        <w:jc w:val="both"/>
        <w:rPr>
          <w:b/>
          <w:bCs/>
          <w:szCs w:val="20"/>
          <w:lang w:val="pt-BR"/>
        </w:rPr>
      </w:pPr>
      <w:r>
        <w:rPr>
          <w:b/>
          <w:bCs/>
          <w:szCs w:val="20"/>
          <w:lang w:val="pt-BR"/>
        </w:rPr>
        <w:t xml:space="preserve">12.25. PARAFUSO CHIPBOARD 4 X 25 MM</w:t>
      </w:r>
      <w:r>
        <w:rPr>
          <w:b/>
          <w:bCs/>
          <w:szCs w:val="20"/>
          <w:lang w:val="pt-BR"/>
        </w:rPr>
      </w:r>
    </w:p>
    <w:p>
      <w:pPr>
        <w:pStyle w:val="1099"/>
        <w:pBdr/>
        <w:spacing w:after="0" w:before="0"/>
        <w:ind/>
        <w:jc w:val="both"/>
        <w:rPr>
          <w:szCs w:val="20"/>
          <w:lang w:val="pt-BR"/>
        </w:rPr>
      </w:pPr>
      <w:r>
        <w:rPr>
          <w:b/>
          <w:bCs/>
          <w:szCs w:val="20"/>
          <w:lang w:val="pt-BR"/>
        </w:rPr>
        <w:t xml:space="preserve">12.25.1.</w:t>
      </w:r>
      <w:r>
        <w:rPr>
          <w:szCs w:val="20"/>
          <w:lang w:val="pt-BR"/>
        </w:rPr>
        <w:t xml:space="preserve"> Parafuso rosca chipboard, cabeça chata, dimensões 4 x 25 mm, aço carbono, acabamento bicromatizado, ou de qualidade superior.</w:t>
      </w:r>
      <w:r>
        <w:rPr>
          <w:szCs w:val="20"/>
          <w:lang w:val="pt-BR"/>
        </w:rPr>
      </w:r>
    </w:p>
    <w:p>
      <w:pPr>
        <w:pStyle w:val="1099"/>
        <w:pBdr/>
        <w:spacing w:after="0" w:before="0"/>
        <w:ind/>
        <w:jc w:val="both"/>
        <w:rPr>
          <w:szCs w:val="20"/>
          <w:lang w:val="pt-BR"/>
        </w:rPr>
      </w:pPr>
      <w:r>
        <w:rPr>
          <w:b/>
          <w:bCs/>
          <w:szCs w:val="20"/>
          <w:lang w:val="pt-BR"/>
        </w:rPr>
        <w:t xml:space="preserve">12.25.2.</w:t>
      </w:r>
      <w:r>
        <w:rPr>
          <w:szCs w:val="20"/>
          <w:lang w:val="pt-BR"/>
        </w:rPr>
        <w:t xml:space="preserve"> Embalagem com 1.000 (mil) unidad</w:t>
      </w:r>
      <w:r>
        <w:rPr>
          <w:szCs w:val="20"/>
          <w:lang w:val="pt-BR"/>
        </w:rPr>
        <w:t xml:space="preserve">es.</w:t>
      </w:r>
      <w:r>
        <w:rPr>
          <w:szCs w:val="20"/>
          <w:lang w:val="pt-BR"/>
        </w:rPr>
      </w:r>
    </w:p>
    <w:p>
      <w:pPr>
        <w:pStyle w:val="1099"/>
        <w:pBdr/>
        <w:spacing w:after="0" w:before="0"/>
        <w:ind/>
        <w:jc w:val="both"/>
        <w:rPr>
          <w:b/>
          <w:bCs/>
          <w:szCs w:val="20"/>
          <w:lang w:val="pt-BR"/>
        </w:rPr>
      </w:pPr>
      <w:r>
        <w:rPr>
          <w:b/>
          <w:bCs/>
          <w:szCs w:val="20"/>
          <w:lang w:val="pt-BR"/>
        </w:rPr>
        <w:t xml:space="preserve">12.26. PARAFUSO CHIPBOARD 4 X 40 MM</w:t>
      </w:r>
      <w:r>
        <w:rPr>
          <w:b/>
          <w:bCs/>
          <w:szCs w:val="20"/>
          <w:lang w:val="pt-BR"/>
        </w:rPr>
      </w:r>
    </w:p>
    <w:p>
      <w:pPr>
        <w:pStyle w:val="1099"/>
        <w:pBdr/>
        <w:spacing w:after="0" w:before="0"/>
        <w:ind/>
        <w:jc w:val="both"/>
        <w:rPr>
          <w:szCs w:val="20"/>
          <w:lang w:val="pt-BR"/>
        </w:rPr>
      </w:pPr>
      <w:r>
        <w:rPr>
          <w:b/>
          <w:bCs/>
          <w:szCs w:val="20"/>
          <w:lang w:val="pt-BR"/>
        </w:rPr>
        <w:t xml:space="preserve">12.26.1. </w:t>
      </w:r>
      <w:r>
        <w:rPr>
          <w:szCs w:val="20"/>
          <w:lang w:val="pt-BR"/>
        </w:rPr>
        <w:t xml:space="preserve">Parafuso rosca chipboard, cabeça chata, dimensões 4 x 40 mm, aço carbono, acabamento bicromatizado, ou de qualidade superior.</w:t>
      </w:r>
      <w:r>
        <w:rPr>
          <w:szCs w:val="20"/>
          <w:lang w:val="pt-BR"/>
        </w:rPr>
      </w:r>
    </w:p>
    <w:p>
      <w:pPr>
        <w:pStyle w:val="1099"/>
        <w:pBdr/>
        <w:spacing w:after="0" w:before="0"/>
        <w:ind/>
        <w:jc w:val="both"/>
        <w:rPr>
          <w:szCs w:val="20"/>
          <w:lang w:val="pt-BR"/>
        </w:rPr>
      </w:pPr>
      <w:r>
        <w:rPr>
          <w:b/>
          <w:bCs/>
          <w:szCs w:val="20"/>
          <w:lang w:val="pt-BR"/>
        </w:rPr>
        <w:t xml:space="preserve">12.26.2. </w:t>
      </w:r>
      <w:r>
        <w:rPr>
          <w:szCs w:val="20"/>
          <w:lang w:val="pt-BR"/>
        </w:rPr>
        <w:t xml:space="preserve">Embalagem com 500 (quinhentas) unidades.</w:t>
      </w:r>
      <w:r>
        <w:rPr>
          <w:szCs w:val="20"/>
          <w:lang w:val="pt-BR"/>
        </w:rPr>
      </w:r>
    </w:p>
    <w:p>
      <w:pPr>
        <w:pStyle w:val="1099"/>
        <w:pBdr/>
        <w:spacing w:after="0" w:before="0"/>
        <w:ind/>
        <w:jc w:val="both"/>
        <w:rPr>
          <w:szCs w:val="20"/>
          <w:lang w:val="pt-BR"/>
        </w:rPr>
      </w:pPr>
      <w:r>
        <w:rPr>
          <w:b/>
          <w:bCs/>
          <w:szCs w:val="20"/>
          <w:lang w:val="pt-BR"/>
        </w:rPr>
        <w:t xml:space="preserve">12.26.3. </w:t>
      </w:r>
      <w:r>
        <w:rPr>
          <w:szCs w:val="20"/>
          <w:lang w:val="pt-BR"/>
        </w:rPr>
        <w:t xml:space="preserve">Indicado para fixação em madeira, MDF, MDP, compensados e materiais correlatos, devendo apresentar resistência, uniformidade dimensional e adequado acabamento superficial.</w:t>
      </w:r>
      <w:r>
        <w:rPr>
          <w:szCs w:val="20"/>
          <w:lang w:val="pt-BR"/>
        </w:rPr>
      </w:r>
    </w:p>
    <w:p>
      <w:pPr>
        <w:pStyle w:val="1099"/>
        <w:pBdr/>
        <w:spacing w:after="0" w:before="0"/>
        <w:ind/>
        <w:jc w:val="both"/>
        <w:rPr>
          <w:b/>
          <w:bCs/>
          <w:szCs w:val="20"/>
          <w:lang w:val="pt-BR"/>
        </w:rPr>
      </w:pPr>
      <w:r>
        <w:rPr>
          <w:b/>
          <w:bCs/>
          <w:szCs w:val="20"/>
          <w:lang w:val="pt-BR"/>
        </w:rPr>
        <w:t xml:space="preserve">12.27. PARAFUSO CHIPBOARD 6 X 50 MM</w:t>
      </w:r>
      <w:r>
        <w:rPr>
          <w:b/>
          <w:bCs/>
          <w:szCs w:val="20"/>
          <w:lang w:val="pt-BR"/>
        </w:rPr>
      </w:r>
    </w:p>
    <w:p>
      <w:pPr>
        <w:pStyle w:val="1099"/>
        <w:pBdr/>
        <w:spacing w:after="0" w:before="0"/>
        <w:ind/>
        <w:jc w:val="both"/>
        <w:rPr>
          <w:szCs w:val="20"/>
          <w:lang w:val="pt-BR"/>
        </w:rPr>
      </w:pPr>
      <w:r>
        <w:rPr>
          <w:b/>
          <w:bCs/>
          <w:szCs w:val="20"/>
          <w:lang w:val="pt-BR"/>
        </w:rPr>
        <w:t xml:space="preserve">12.27.1. </w:t>
      </w:r>
      <w:r>
        <w:rPr>
          <w:szCs w:val="20"/>
          <w:lang w:val="pt-BR"/>
        </w:rPr>
        <w:t xml:space="preserve">Parafuso rosca chipboard, cabeça chata, dimensões 6 x 50 mm, </w:t>
      </w:r>
      <w:r>
        <w:rPr>
          <w:szCs w:val="20"/>
          <w:lang w:val="pt-BR"/>
        </w:rPr>
        <w:t xml:space="preserve">encaixe Phillips, aço carbono, acabamento bicromatizado, tratamento cementado, ou de qualidade superior.</w:t>
      </w:r>
      <w:r>
        <w:rPr>
          <w:szCs w:val="20"/>
          <w:lang w:val="pt-BR"/>
        </w:rPr>
      </w:r>
    </w:p>
    <w:p>
      <w:pPr>
        <w:pStyle w:val="1099"/>
        <w:pBdr/>
        <w:spacing w:after="0" w:before="0"/>
        <w:ind/>
        <w:jc w:val="both"/>
        <w:rPr>
          <w:szCs w:val="20"/>
          <w:lang w:val="pt-BR"/>
        </w:rPr>
      </w:pPr>
      <w:r>
        <w:rPr>
          <w:b/>
          <w:bCs/>
          <w:szCs w:val="20"/>
          <w:lang w:val="pt-BR"/>
        </w:rPr>
        <w:t xml:space="preserve">12.27.2. </w:t>
      </w:r>
      <w:r>
        <w:rPr>
          <w:szCs w:val="20"/>
          <w:lang w:val="pt-BR"/>
        </w:rPr>
        <w:t xml:space="preserve">Embalagem com 200 (duzentas) unidades.</w:t>
      </w:r>
      <w:r>
        <w:rPr>
          <w:szCs w:val="20"/>
          <w:lang w:val="pt-BR"/>
        </w:rPr>
      </w:r>
    </w:p>
    <w:p>
      <w:pPr>
        <w:pStyle w:val="1099"/>
        <w:pBdr/>
        <w:spacing w:after="0" w:before="0"/>
        <w:ind/>
        <w:jc w:val="both"/>
        <w:rPr>
          <w:b/>
          <w:bCs/>
          <w:szCs w:val="20"/>
          <w:lang w:val="pt-BR"/>
        </w:rPr>
      </w:pPr>
      <w:r>
        <w:rPr>
          <w:b/>
          <w:bCs/>
          <w:szCs w:val="20"/>
          <w:lang w:val="pt-BR"/>
        </w:rPr>
        <w:t xml:space="preserve">12.28. PARAFUSO CHIPBOARD 6 X 60 MM</w:t>
      </w:r>
      <w:r>
        <w:rPr>
          <w:b/>
          <w:bCs/>
          <w:szCs w:val="20"/>
          <w:lang w:val="pt-BR"/>
        </w:rPr>
      </w:r>
    </w:p>
    <w:p>
      <w:pPr>
        <w:pStyle w:val="1099"/>
        <w:pBdr/>
        <w:spacing w:after="0" w:before="0"/>
        <w:ind/>
        <w:jc w:val="both"/>
        <w:rPr>
          <w:szCs w:val="20"/>
          <w:lang w:val="pt-BR"/>
        </w:rPr>
      </w:pPr>
      <w:r>
        <w:rPr>
          <w:b/>
          <w:bCs/>
          <w:szCs w:val="20"/>
          <w:lang w:val="pt-BR"/>
        </w:rPr>
        <w:t xml:space="preserve">12.28.1. </w:t>
      </w:r>
      <w:r>
        <w:rPr>
          <w:szCs w:val="20"/>
          <w:lang w:val="pt-BR"/>
        </w:rPr>
        <w:t xml:space="preserve">Parafuso rosca chipboard, cabeça chata, dimensões 6 x 60 mm, encaixe Phillips, aço carbono, acabamento bicromatizado, tratamento cementado, ou de qualidade superior.</w:t>
      </w:r>
      <w:r>
        <w:rPr>
          <w:szCs w:val="20"/>
          <w:lang w:val="pt-BR"/>
        </w:rPr>
      </w:r>
    </w:p>
    <w:p>
      <w:pPr>
        <w:pStyle w:val="1099"/>
        <w:pBdr/>
        <w:spacing w:after="0" w:before="0"/>
        <w:ind/>
        <w:jc w:val="both"/>
        <w:rPr>
          <w:szCs w:val="20"/>
          <w:lang w:val="pt-BR"/>
        </w:rPr>
      </w:pPr>
      <w:r>
        <w:rPr>
          <w:b/>
          <w:bCs/>
          <w:szCs w:val="20"/>
          <w:lang w:val="pt-BR"/>
        </w:rPr>
        <w:t xml:space="preserve">12.28.2. </w:t>
      </w:r>
      <w:r>
        <w:rPr>
          <w:szCs w:val="20"/>
          <w:lang w:val="pt-BR"/>
        </w:rPr>
        <w:t xml:space="preserve">Embalagem com 200 (duzentas) unidades.</w:t>
      </w:r>
      <w:r>
        <w:rPr>
          <w:szCs w:val="20"/>
          <w:lang w:val="pt-BR"/>
        </w:rPr>
      </w:r>
    </w:p>
    <w:p>
      <w:pPr>
        <w:pStyle w:val="1099"/>
        <w:pBdr/>
        <w:spacing w:after="0" w:before="0"/>
        <w:ind/>
        <w:jc w:val="both"/>
        <w:rPr>
          <w:b/>
          <w:bCs/>
          <w:szCs w:val="20"/>
          <w:lang w:val="pt-BR"/>
        </w:rPr>
      </w:pPr>
      <w:r>
        <w:rPr>
          <w:b/>
          <w:bCs/>
          <w:szCs w:val="20"/>
          <w:lang w:val="pt-BR"/>
        </w:rPr>
        <w:t xml:space="preserve">12.29. PLACA MDF 15 MM BRANCO TX</w:t>
      </w:r>
      <w:r>
        <w:rPr>
          <w:b/>
          <w:bCs/>
          <w:szCs w:val="20"/>
          <w:lang w:val="pt-BR"/>
        </w:rPr>
      </w:r>
    </w:p>
    <w:p>
      <w:pPr>
        <w:pStyle w:val="1099"/>
        <w:pBdr/>
        <w:spacing w:after="0" w:before="0"/>
        <w:ind/>
        <w:jc w:val="both"/>
        <w:rPr>
          <w:szCs w:val="20"/>
          <w:lang w:val="pt-BR"/>
        </w:rPr>
      </w:pPr>
      <w:r>
        <w:rPr>
          <w:b/>
          <w:bCs/>
          <w:szCs w:val="20"/>
          <w:lang w:val="pt-BR"/>
        </w:rPr>
        <w:t xml:space="preserve">12.29.1.</w:t>
      </w:r>
      <w:r>
        <w:rPr>
          <w:szCs w:val="20"/>
          <w:lang w:val="pt-BR"/>
        </w:rPr>
        <w:t xml:space="preserve"> Placa de MDF espessura 15 mm, dimensões mínimas de 2.750 x</w:t>
      </w:r>
      <w:r>
        <w:rPr>
          <w:szCs w:val="20"/>
          <w:lang w:val="pt-BR"/>
        </w:rPr>
        <w:t xml:space="preserve"> 1.850 mm, revestimento melamínico BP nas duas faces, cor branco TX, acabamento texturizado, ou de qualidade superior.</w:t>
      </w:r>
      <w:r>
        <w:rPr>
          <w:szCs w:val="20"/>
          <w:lang w:val="pt-BR"/>
        </w:rPr>
      </w:r>
    </w:p>
    <w:p>
      <w:pPr>
        <w:pStyle w:val="1099"/>
        <w:pBdr/>
        <w:spacing w:after="0" w:before="0"/>
        <w:ind/>
        <w:jc w:val="both"/>
        <w:rPr>
          <w:szCs w:val="20"/>
          <w:lang w:val="pt-BR"/>
        </w:rPr>
      </w:pPr>
      <w:r>
        <w:rPr>
          <w:b/>
          <w:bCs/>
          <w:szCs w:val="20"/>
          <w:lang w:val="pt-BR"/>
        </w:rPr>
        <w:t xml:space="preserve">12.29.2. </w:t>
      </w:r>
      <w:r>
        <w:rPr>
          <w:szCs w:val="20"/>
          <w:lang w:val="pt-BR"/>
        </w:rPr>
        <w:t xml:space="preserve">Produto com superfície uniforme, sem empenamentos ou defeitos.</w:t>
      </w:r>
      <w:r>
        <w:rPr>
          <w:szCs w:val="20"/>
          <w:lang w:val="pt-BR"/>
        </w:rPr>
      </w:r>
    </w:p>
    <w:p>
      <w:pPr>
        <w:pStyle w:val="1099"/>
        <w:pBdr/>
        <w:spacing w:after="0" w:before="0"/>
        <w:ind/>
        <w:jc w:val="both"/>
        <w:rPr>
          <w:szCs w:val="20"/>
          <w:lang w:val="pt-BR"/>
        </w:rPr>
      </w:pPr>
      <w:r>
        <w:rPr>
          <w:b/>
          <w:bCs/>
          <w:szCs w:val="20"/>
          <w:lang w:val="pt-BR"/>
        </w:rPr>
        <w:t xml:space="preserve">12.29.3. </w:t>
      </w:r>
      <w:r>
        <w:rPr>
          <w:szCs w:val="20"/>
          <w:lang w:val="pt-BR"/>
        </w:rPr>
        <w:t xml:space="preserve">Garantia mínima de 90 dias contra defeitos de fabricação.</w:t>
      </w:r>
      <w:r>
        <w:rPr>
          <w:szCs w:val="20"/>
          <w:lang w:val="pt-BR"/>
        </w:rPr>
      </w:r>
    </w:p>
    <w:p>
      <w:pPr>
        <w:pStyle w:val="1099"/>
        <w:pBdr/>
        <w:spacing w:after="0" w:before="0"/>
        <w:ind/>
        <w:jc w:val="both"/>
        <w:rPr>
          <w:b/>
          <w:bCs/>
          <w:szCs w:val="20"/>
          <w:lang w:val="pt-BR"/>
        </w:rPr>
      </w:pPr>
      <w:r>
        <w:rPr>
          <w:b/>
          <w:bCs/>
          <w:szCs w:val="20"/>
          <w:lang w:val="pt-BR"/>
        </w:rPr>
        <w:t xml:space="preserve">12.30. PLACA MDF 15 MM MARROM DOURADO</w:t>
      </w:r>
      <w:r>
        <w:rPr>
          <w:b/>
          <w:bCs/>
          <w:szCs w:val="20"/>
          <w:lang w:val="pt-BR"/>
        </w:rPr>
      </w:r>
    </w:p>
    <w:p>
      <w:pPr>
        <w:pStyle w:val="1099"/>
        <w:pBdr/>
        <w:spacing w:after="0" w:before="0"/>
        <w:ind/>
        <w:jc w:val="both"/>
        <w:rPr>
          <w:szCs w:val="20"/>
          <w:lang w:val="pt-BR"/>
        </w:rPr>
      </w:pPr>
      <w:r>
        <w:rPr>
          <w:b/>
          <w:bCs/>
          <w:szCs w:val="20"/>
          <w:lang w:val="pt-BR"/>
        </w:rPr>
        <w:t xml:space="preserve">12.30.1. </w:t>
      </w:r>
      <w:r>
        <w:rPr>
          <w:szCs w:val="20"/>
          <w:lang w:val="pt-BR"/>
        </w:rPr>
        <w:t xml:space="preserve">Placa MDF espessura 15 mm, dimensões mínimas de 2.750 x 1.850 mm, composição em fibra de eucalipto, acabamento padrão madeira nogueira, textura lineal, ou de qualidade superior.</w:t>
      </w:r>
      <w:r>
        <w:rPr>
          <w:szCs w:val="20"/>
          <w:lang w:val="pt-BR"/>
        </w:rPr>
      </w:r>
    </w:p>
    <w:p>
      <w:pPr>
        <w:pStyle w:val="1099"/>
        <w:pBdr/>
        <w:spacing w:after="0" w:before="0"/>
        <w:ind/>
        <w:jc w:val="both"/>
        <w:rPr>
          <w:szCs w:val="20"/>
          <w:lang w:val="pt-BR"/>
        </w:rPr>
      </w:pPr>
      <w:r>
        <w:rPr>
          <w:b/>
          <w:bCs/>
          <w:szCs w:val="20"/>
          <w:lang w:val="pt-BR"/>
        </w:rPr>
        <w:t xml:space="preserve">12.30.2. </w:t>
      </w:r>
      <w:r>
        <w:rPr>
          <w:szCs w:val="20"/>
          <w:lang w:val="pt-BR"/>
        </w:rPr>
        <w:t xml:space="preserve">Garantia mínima de 9</w:t>
      </w:r>
      <w:r>
        <w:rPr>
          <w:szCs w:val="20"/>
          <w:lang w:val="pt-BR"/>
        </w:rPr>
        <w:t xml:space="preserve">0 dias.</w:t>
      </w:r>
      <w:r>
        <w:rPr>
          <w:szCs w:val="20"/>
          <w:lang w:val="pt-BR"/>
        </w:rPr>
      </w:r>
    </w:p>
    <w:p>
      <w:pPr>
        <w:pStyle w:val="1099"/>
        <w:pBdr/>
        <w:spacing w:after="0" w:before="0"/>
        <w:ind/>
        <w:jc w:val="both"/>
        <w:rPr>
          <w:b/>
          <w:bCs/>
          <w:szCs w:val="20"/>
          <w:lang w:val="pt-BR"/>
        </w:rPr>
      </w:pPr>
      <w:r>
        <w:rPr>
          <w:b/>
          <w:bCs/>
          <w:szCs w:val="20"/>
          <w:lang w:val="pt-BR"/>
        </w:rPr>
        <w:t xml:space="preserve">12.31. PLACA MDF 6 MM BRANCO TX</w:t>
      </w:r>
      <w:r>
        <w:rPr>
          <w:b/>
          <w:bCs/>
          <w:szCs w:val="20"/>
          <w:lang w:val="pt-BR"/>
        </w:rPr>
      </w:r>
    </w:p>
    <w:p>
      <w:pPr>
        <w:pStyle w:val="1099"/>
        <w:pBdr/>
        <w:spacing w:after="0" w:before="0"/>
        <w:ind/>
        <w:jc w:val="both"/>
        <w:rPr>
          <w:szCs w:val="20"/>
          <w:lang w:val="pt-BR"/>
        </w:rPr>
      </w:pPr>
      <w:r>
        <w:rPr>
          <w:b/>
          <w:bCs/>
          <w:szCs w:val="20"/>
          <w:lang w:val="pt-BR"/>
        </w:rPr>
        <w:t xml:space="preserve">12.31.1. </w:t>
      </w:r>
      <w:r>
        <w:rPr>
          <w:szCs w:val="20"/>
          <w:lang w:val="pt-BR"/>
        </w:rPr>
        <w:t xml:space="preserve">Placa MDF espessura 6 mm, dimensões mínimas de 2.750 x 1.850 mm, revestimento melamínico BP nas duas faces, cor branco TX, acabamento texturizado, ou de qualidade superior.</w:t>
      </w:r>
      <w:r>
        <w:rPr>
          <w:szCs w:val="20"/>
          <w:lang w:val="pt-BR"/>
        </w:rPr>
      </w:r>
    </w:p>
    <w:p>
      <w:pPr>
        <w:pStyle w:val="1099"/>
        <w:pBdr/>
        <w:spacing w:after="0" w:before="0"/>
        <w:ind/>
        <w:jc w:val="both"/>
        <w:rPr>
          <w:szCs w:val="20"/>
          <w:lang w:val="pt-BR"/>
        </w:rPr>
      </w:pPr>
      <w:r>
        <w:rPr>
          <w:b/>
          <w:bCs/>
          <w:szCs w:val="20"/>
          <w:lang w:val="pt-BR"/>
        </w:rPr>
        <w:t xml:space="preserve">12.31.2. </w:t>
      </w:r>
      <w:r>
        <w:rPr>
          <w:szCs w:val="20"/>
          <w:lang w:val="pt-BR"/>
        </w:rPr>
        <w:t xml:space="preserve">Garantia mínima de 90 dias.</w:t>
      </w:r>
      <w:r>
        <w:rPr>
          <w:szCs w:val="20"/>
          <w:lang w:val="pt-BR"/>
        </w:rPr>
      </w:r>
    </w:p>
    <w:p>
      <w:pPr>
        <w:pStyle w:val="1099"/>
        <w:pBdr/>
        <w:spacing w:after="0" w:before="0"/>
        <w:ind/>
        <w:jc w:val="both"/>
        <w:rPr>
          <w:b/>
          <w:bCs/>
          <w:szCs w:val="20"/>
          <w:lang w:val="pt-BR"/>
        </w:rPr>
      </w:pPr>
      <w:r>
        <w:rPr>
          <w:b/>
          <w:bCs/>
          <w:szCs w:val="20"/>
          <w:lang w:val="pt-BR"/>
        </w:rPr>
        <w:t xml:space="preserve">12.32. PLAINA ELÉTRICA</w:t>
      </w:r>
      <w:r>
        <w:rPr>
          <w:b/>
          <w:bCs/>
          <w:szCs w:val="20"/>
          <w:lang w:val="pt-BR"/>
        </w:rPr>
      </w:r>
    </w:p>
    <w:p>
      <w:pPr>
        <w:pStyle w:val="1099"/>
        <w:pBdr/>
        <w:spacing w:after="0" w:before="0"/>
        <w:ind/>
        <w:jc w:val="both"/>
        <w:rPr>
          <w:szCs w:val="20"/>
          <w:lang w:val="pt-BR"/>
        </w:rPr>
      </w:pPr>
      <w:r>
        <w:rPr>
          <w:b/>
          <w:bCs/>
          <w:szCs w:val="20"/>
          <w:lang w:val="pt-BR"/>
        </w:rPr>
        <w:t xml:space="preserve">12.32.1. </w:t>
      </w:r>
      <w:r>
        <w:rPr>
          <w:szCs w:val="20"/>
          <w:lang w:val="pt-BR"/>
        </w:rPr>
        <w:t xml:space="preserve">Plaina elétrica para madeira, potência mínima 550 W, rotação mínima de 17.000 RPM, ou de qualidade superior.</w:t>
      </w:r>
      <w:r>
        <w:rPr>
          <w:szCs w:val="20"/>
          <w:lang w:val="pt-BR"/>
        </w:rPr>
      </w:r>
    </w:p>
    <w:p>
      <w:pPr>
        <w:pStyle w:val="1099"/>
        <w:pBdr/>
        <w:spacing w:after="0" w:before="0"/>
        <w:ind/>
        <w:jc w:val="both"/>
        <w:rPr>
          <w:szCs w:val="20"/>
          <w:lang w:val="pt-BR"/>
        </w:rPr>
      </w:pPr>
      <w:r>
        <w:rPr>
          <w:b/>
          <w:bCs/>
          <w:szCs w:val="20"/>
          <w:lang w:val="pt-BR"/>
        </w:rPr>
        <w:t xml:space="preserve">12.32.2. </w:t>
      </w:r>
      <w:r>
        <w:rPr>
          <w:szCs w:val="20"/>
          <w:lang w:val="pt-BR"/>
        </w:rPr>
        <w:t xml:space="preserve">Largura mínima da lâmina de 82 mm.</w:t>
      </w:r>
      <w:r>
        <w:rPr>
          <w:szCs w:val="20"/>
          <w:lang w:val="pt-BR"/>
        </w:rPr>
      </w:r>
    </w:p>
    <w:p>
      <w:pPr>
        <w:pStyle w:val="1099"/>
        <w:pBdr/>
        <w:spacing w:after="0" w:before="0"/>
        <w:ind/>
        <w:jc w:val="both"/>
        <w:rPr>
          <w:szCs w:val="20"/>
          <w:lang w:val="pt-BR"/>
        </w:rPr>
      </w:pPr>
      <w:r>
        <w:rPr>
          <w:b/>
          <w:bCs/>
          <w:szCs w:val="20"/>
          <w:lang w:val="pt-BR"/>
        </w:rPr>
        <w:t xml:space="preserve">12.32.3. </w:t>
      </w:r>
      <w:r>
        <w:rPr>
          <w:szCs w:val="20"/>
          <w:lang w:val="pt-BR"/>
        </w:rPr>
        <w:t xml:space="preserve">Tensão bivolt.</w:t>
      </w:r>
      <w:r>
        <w:rPr>
          <w:szCs w:val="20"/>
          <w:lang w:val="pt-BR"/>
        </w:rPr>
      </w:r>
    </w:p>
    <w:p>
      <w:pPr>
        <w:pStyle w:val="1099"/>
        <w:pBdr/>
        <w:spacing w:after="0" w:before="0"/>
        <w:ind/>
        <w:jc w:val="both"/>
        <w:rPr>
          <w:b/>
          <w:bCs/>
          <w:szCs w:val="20"/>
          <w:lang w:val="pt-BR"/>
        </w:rPr>
      </w:pPr>
      <w:r>
        <w:rPr>
          <w:b/>
          <w:bCs/>
          <w:szCs w:val="20"/>
          <w:lang w:val="pt-BR"/>
        </w:rPr>
        <w:t xml:space="preserve">12.33. SAPATA NIVELADORA REGULÁVEL PARA MÓVE</w:t>
      </w:r>
      <w:r>
        <w:rPr>
          <w:b/>
          <w:bCs/>
          <w:szCs w:val="20"/>
          <w:lang w:val="pt-BR"/>
        </w:rPr>
        <w:t xml:space="preserve">IS</w:t>
      </w:r>
      <w:r>
        <w:rPr>
          <w:b/>
          <w:bCs/>
          <w:szCs w:val="20"/>
          <w:lang w:val="pt-BR"/>
        </w:rPr>
      </w:r>
    </w:p>
    <w:p>
      <w:pPr>
        <w:pStyle w:val="1099"/>
        <w:pBdr/>
        <w:spacing w:after="0" w:before="0"/>
        <w:ind/>
        <w:jc w:val="both"/>
        <w:rPr>
          <w:szCs w:val="20"/>
          <w:lang w:val="pt-BR"/>
        </w:rPr>
      </w:pPr>
      <w:r>
        <w:rPr>
          <w:b/>
          <w:bCs/>
          <w:szCs w:val="20"/>
          <w:lang w:val="pt-BR"/>
        </w:rPr>
        <w:t xml:space="preserve">12.33.1.</w:t>
      </w:r>
      <w:r>
        <w:rPr>
          <w:szCs w:val="20"/>
          <w:lang w:val="pt-BR"/>
        </w:rPr>
        <w:t xml:space="preserve"> Sapata niveladora regulável para móveis, rosca 5/16" x 1", com bucha compatível, ou de qualidade superior.</w:t>
      </w:r>
      <w:r>
        <w:rPr>
          <w:szCs w:val="20"/>
          <w:lang w:val="pt-BR"/>
        </w:rPr>
      </w:r>
    </w:p>
    <w:p>
      <w:pPr>
        <w:pStyle w:val="1099"/>
        <w:pBdr/>
        <w:spacing w:after="0" w:before="0"/>
        <w:ind/>
        <w:jc w:val="both"/>
        <w:rPr>
          <w:szCs w:val="20"/>
          <w:lang w:val="pt-BR"/>
        </w:rPr>
      </w:pPr>
      <w:r>
        <w:rPr>
          <w:b/>
          <w:bCs/>
          <w:szCs w:val="20"/>
          <w:lang w:val="pt-BR"/>
        </w:rPr>
        <w:t xml:space="preserve">12.33.2. </w:t>
      </w:r>
      <w:r>
        <w:rPr>
          <w:szCs w:val="20"/>
          <w:lang w:val="pt-BR"/>
        </w:rPr>
        <w:t xml:space="preserve">Base com diâmetro ou seção aproximada de 31 mm e altura máxima aproximada de 40 mm.</w:t>
      </w:r>
      <w:r>
        <w:rPr>
          <w:szCs w:val="20"/>
          <w:lang w:val="pt-BR"/>
        </w:rPr>
      </w:r>
    </w:p>
    <w:p>
      <w:pPr>
        <w:pStyle w:val="1099"/>
        <w:pBdr/>
        <w:spacing w:after="0" w:before="0"/>
        <w:ind/>
        <w:jc w:val="both"/>
        <w:rPr>
          <w:szCs w:val="20"/>
          <w:lang w:val="pt-BR"/>
        </w:rPr>
      </w:pPr>
      <w:r>
        <w:rPr>
          <w:b/>
          <w:bCs/>
          <w:szCs w:val="20"/>
          <w:lang w:val="pt-BR"/>
        </w:rPr>
        <w:t xml:space="preserve">12.33.3. </w:t>
      </w:r>
      <w:r>
        <w:rPr>
          <w:szCs w:val="20"/>
          <w:lang w:val="pt-BR"/>
        </w:rPr>
        <w:t xml:space="preserve">Deverá possuir sistema de regulagem de altura, permitindo correção de desnível e adequado apoio de móveis e estruturas.</w:t>
      </w:r>
      <w:r>
        <w:rPr>
          <w:szCs w:val="20"/>
          <w:lang w:val="pt-BR"/>
        </w:rPr>
      </w:r>
    </w:p>
    <w:p>
      <w:pPr>
        <w:pStyle w:val="1099"/>
        <w:pBdr/>
        <w:spacing w:after="0" w:before="0"/>
        <w:ind/>
        <w:jc w:val="both"/>
        <w:rPr>
          <w:szCs w:val="20"/>
          <w:lang w:val="pt-BR"/>
        </w:rPr>
      </w:pPr>
      <w:r>
        <w:rPr>
          <w:b/>
          <w:bCs/>
          <w:szCs w:val="20"/>
          <w:lang w:val="pt-BR"/>
        </w:rPr>
        <w:t xml:space="preserve">12.33.4.</w:t>
      </w:r>
      <w:r>
        <w:rPr>
          <w:szCs w:val="20"/>
          <w:lang w:val="pt-BR"/>
        </w:rPr>
        <w:t xml:space="preserve"> Confeccionada em aço e/ou zamac, com acabamento zincado, resistente ao uso contínuo e compatível com aplicações em mobiliário planejado e institucional.</w:t>
      </w:r>
      <w:r>
        <w:rPr>
          <w:szCs w:val="20"/>
          <w:lang w:val="pt-BR"/>
        </w:rPr>
      </w:r>
    </w:p>
    <w:p>
      <w:pPr>
        <w:pStyle w:val="1099"/>
        <w:pBdr/>
        <w:spacing w:after="0" w:before="0"/>
        <w:ind/>
        <w:jc w:val="both"/>
        <w:rPr>
          <w:b/>
          <w:bCs/>
          <w:szCs w:val="20"/>
          <w:lang w:val="pt-BR"/>
        </w:rPr>
      </w:pPr>
      <w:r>
        <w:rPr>
          <w:b/>
          <w:bCs/>
          <w:szCs w:val="20"/>
          <w:lang w:val="pt-BR"/>
        </w:rPr>
        <w:t xml:space="preserve">12.34. SE</w:t>
      </w:r>
      <w:r>
        <w:rPr>
          <w:b/>
          <w:bCs/>
          <w:szCs w:val="20"/>
          <w:lang w:val="pt-BR"/>
        </w:rPr>
        <w:t xml:space="preserve">RRA ELÉTRICA TICO-TICO</w:t>
      </w:r>
      <w:r>
        <w:rPr>
          <w:b/>
          <w:bCs/>
          <w:szCs w:val="20"/>
          <w:lang w:val="pt-BR"/>
        </w:rPr>
      </w:r>
    </w:p>
    <w:p>
      <w:pPr>
        <w:pStyle w:val="1099"/>
        <w:pBdr/>
        <w:spacing w:after="0" w:before="0"/>
        <w:ind/>
        <w:jc w:val="both"/>
        <w:rPr>
          <w:szCs w:val="20"/>
          <w:lang w:val="pt-BR"/>
        </w:rPr>
      </w:pPr>
      <w:r>
        <w:rPr>
          <w:b/>
          <w:bCs/>
          <w:szCs w:val="20"/>
          <w:lang w:val="pt-BR"/>
        </w:rPr>
        <w:t xml:space="preserve">12.34.1. </w:t>
      </w:r>
      <w:r>
        <w:rPr>
          <w:szCs w:val="20"/>
          <w:lang w:val="pt-BR"/>
        </w:rPr>
        <w:t xml:space="preserve">Serra elétrica modelo tico-tico, potência mínima de 650 W, rotação variável entre 500 e 3.100 RPM, ou de qualidade superior.</w:t>
      </w:r>
      <w:r>
        <w:rPr>
          <w:szCs w:val="20"/>
          <w:lang w:val="pt-BR"/>
        </w:rPr>
      </w:r>
    </w:p>
    <w:p>
      <w:pPr>
        <w:pStyle w:val="1099"/>
        <w:pBdr/>
        <w:spacing w:after="0" w:before="0"/>
        <w:ind/>
        <w:jc w:val="both"/>
        <w:rPr>
          <w:szCs w:val="20"/>
          <w:lang w:val="pt-BR"/>
        </w:rPr>
      </w:pPr>
      <w:r>
        <w:rPr>
          <w:b/>
          <w:bCs/>
          <w:szCs w:val="20"/>
          <w:lang w:val="pt-BR"/>
        </w:rPr>
        <w:t xml:space="preserve">12.34.2. </w:t>
      </w:r>
      <w:r>
        <w:rPr>
          <w:szCs w:val="20"/>
          <w:lang w:val="pt-BR"/>
        </w:rPr>
        <w:t xml:space="preserve">Capacidade mínima de corte: madeira 120 mm; alumínio 20 mm; aço 10 mm.</w:t>
      </w:r>
      <w:r>
        <w:rPr>
          <w:szCs w:val="20"/>
          <w:lang w:val="pt-BR"/>
        </w:rPr>
      </w:r>
    </w:p>
    <w:p>
      <w:pPr>
        <w:pStyle w:val="1099"/>
        <w:pBdr/>
        <w:spacing w:after="0" w:before="0"/>
        <w:ind/>
        <w:jc w:val="both"/>
        <w:rPr>
          <w:szCs w:val="20"/>
          <w:lang w:val="pt-BR"/>
        </w:rPr>
      </w:pPr>
      <w:r>
        <w:rPr>
          <w:b/>
          <w:bCs/>
          <w:szCs w:val="20"/>
          <w:lang w:val="pt-BR"/>
        </w:rPr>
        <w:t xml:space="preserve">12.34.3. </w:t>
      </w:r>
      <w:r>
        <w:rPr>
          <w:szCs w:val="20"/>
          <w:lang w:val="pt-BR"/>
        </w:rPr>
        <w:t xml:space="preserve">Tensão 220 V ou bivolt.</w:t>
      </w:r>
      <w:r>
        <w:rPr>
          <w:szCs w:val="20"/>
          <w:lang w:val="pt-BR"/>
        </w:rPr>
      </w:r>
    </w:p>
    <w:p>
      <w:pPr>
        <w:pStyle w:val="1099"/>
        <w:pBdr/>
        <w:spacing w:after="0" w:before="0"/>
        <w:ind/>
        <w:jc w:val="both"/>
        <w:rPr>
          <w:szCs w:val="20"/>
          <w:lang w:val="pt-BR"/>
        </w:rPr>
      </w:pPr>
      <w:r>
        <w:rPr>
          <w:b/>
          <w:bCs/>
          <w:szCs w:val="20"/>
          <w:lang w:val="pt-BR"/>
        </w:rPr>
        <w:t xml:space="preserve">12.34.4.</w:t>
      </w:r>
      <w:r>
        <w:rPr>
          <w:szCs w:val="20"/>
          <w:lang w:val="pt-BR"/>
        </w:rPr>
        <w:t xml:space="preserve"> Acompanhada de manual em português e certificado de garantia.</w:t>
      </w:r>
      <w:r>
        <w:rPr>
          <w:szCs w:val="20"/>
          <w:lang w:val="pt-BR"/>
        </w:rPr>
      </w:r>
    </w:p>
    <w:p>
      <w:pPr>
        <w:pStyle w:val="1099"/>
        <w:pBdr/>
        <w:spacing w:after="0" w:before="0"/>
        <w:ind/>
        <w:jc w:val="both"/>
        <w:rPr>
          <w:b/>
          <w:bCs/>
          <w:szCs w:val="20"/>
          <w:lang w:val="pt-BR"/>
        </w:rPr>
      </w:pPr>
      <w:r>
        <w:rPr>
          <w:b/>
          <w:bCs/>
          <w:szCs w:val="20"/>
          <w:lang w:val="pt-BR"/>
        </w:rPr>
        <w:t xml:space="preserve">12.35. SERRA ESQUADRIA 10”</w:t>
      </w:r>
      <w:r>
        <w:rPr>
          <w:b/>
          <w:bCs/>
          <w:szCs w:val="20"/>
          <w:lang w:val="pt-BR"/>
        </w:rPr>
      </w:r>
    </w:p>
    <w:p>
      <w:pPr>
        <w:pStyle w:val="1099"/>
        <w:pBdr/>
        <w:spacing w:after="0" w:before="0"/>
        <w:ind/>
        <w:jc w:val="both"/>
        <w:rPr>
          <w:szCs w:val="20"/>
          <w:lang w:val="pt-BR"/>
        </w:rPr>
      </w:pPr>
      <w:r>
        <w:rPr>
          <w:b/>
          <w:bCs/>
          <w:szCs w:val="20"/>
          <w:lang w:val="pt-BR"/>
        </w:rPr>
        <w:t xml:space="preserve">12.35.1. </w:t>
      </w:r>
      <w:r>
        <w:rPr>
          <w:szCs w:val="20"/>
          <w:lang w:val="pt-BR"/>
        </w:rPr>
        <w:t xml:space="preserve">Serra esquadria 10”, potência mínima de 1.650 W, voltagem 127 V ou bivolt, ou de qualidade superior.</w:t>
      </w:r>
      <w:r>
        <w:rPr>
          <w:szCs w:val="20"/>
          <w:lang w:val="pt-BR"/>
        </w:rPr>
      </w:r>
    </w:p>
    <w:p>
      <w:pPr>
        <w:pStyle w:val="1099"/>
        <w:pBdr/>
        <w:spacing w:after="0" w:before="0"/>
        <w:ind/>
        <w:jc w:val="both"/>
        <w:rPr>
          <w:szCs w:val="20"/>
          <w:lang w:val="pt-BR"/>
        </w:rPr>
      </w:pPr>
      <w:r>
        <w:rPr>
          <w:b/>
          <w:bCs/>
          <w:szCs w:val="20"/>
          <w:lang w:val="pt-BR"/>
        </w:rPr>
        <w:t xml:space="preserve">12.35.2. </w:t>
      </w:r>
      <w:r>
        <w:rPr>
          <w:szCs w:val="20"/>
          <w:lang w:val="pt-BR"/>
        </w:rPr>
        <w:t xml:space="preserve">Estrutura robusta, base e</w:t>
      </w:r>
      <w:r>
        <w:rPr>
          <w:szCs w:val="20"/>
          <w:lang w:val="pt-BR"/>
        </w:rPr>
        <w:t xml:space="preserve">stável e sistema de inclinação ajustável.</w:t>
      </w:r>
      <w:r>
        <w:rPr>
          <w:szCs w:val="20"/>
          <w:lang w:val="pt-BR"/>
        </w:rPr>
      </w:r>
    </w:p>
    <w:p>
      <w:pPr>
        <w:pStyle w:val="1099"/>
        <w:pBdr/>
        <w:spacing w:after="0" w:before="0"/>
        <w:ind/>
        <w:jc w:val="both"/>
        <w:rPr>
          <w:szCs w:val="20"/>
          <w:lang w:val="pt-BR"/>
        </w:rPr>
      </w:pPr>
      <w:r>
        <w:rPr>
          <w:b/>
          <w:bCs/>
          <w:szCs w:val="20"/>
          <w:lang w:val="pt-BR"/>
        </w:rPr>
        <w:t xml:space="preserve">12.35.3. </w:t>
      </w:r>
      <w:r>
        <w:rPr>
          <w:szCs w:val="20"/>
          <w:lang w:val="pt-BR"/>
        </w:rPr>
        <w:t xml:space="preserve">Acompanhada de manual em português e certificado de garantia mínima de 12 meses.</w:t>
      </w:r>
      <w:r>
        <w:rPr>
          <w:szCs w:val="20"/>
          <w:lang w:val="pt-BR"/>
        </w:rPr>
      </w:r>
    </w:p>
    <w:p>
      <w:pPr>
        <w:pStyle w:val="1099"/>
        <w:pBdr/>
        <w:spacing w:after="52" w:before="52" w:line="216" w:lineRule="auto"/>
        <w:ind/>
        <w:jc w:val="both"/>
        <w:rPr>
          <w:b/>
          <w:bCs/>
          <w:szCs w:val="20"/>
          <w:highlight w:val="yellow"/>
          <w:lang w:val="pt-BR"/>
        </w:rPr>
      </w:pPr>
      <w:r>
        <w:rPr>
          <w:b/>
          <w:bCs/>
          <w:szCs w:val="20"/>
          <w:highlight w:val="yellow"/>
          <w:lang w:val="pt-BR"/>
        </w:rPr>
      </w:r>
      <w:r>
        <w:rPr>
          <w:b/>
          <w:bCs/>
          <w:szCs w:val="20"/>
          <w:highlight w:val="yellow"/>
          <w:lang w:val="pt-BR"/>
        </w:rPr>
      </w:r>
    </w:p>
    <w:p>
      <w:pPr>
        <w:pStyle w:val="828"/>
        <w:pBdr/>
        <w:shd w:val="clear" w:color="auto" w:fill="cccccc"/>
        <w:spacing/>
        <w:ind/>
        <w:jc w:val="both"/>
        <w:rPr/>
      </w:pPr>
      <w:r>
        <w:rPr>
          <w:b/>
          <w:bCs/>
        </w:rPr>
        <w:t xml:space="preserve">13 – DA PESQUISA DE PREÇO</w:t>
      </w:r>
      <w:r/>
    </w:p>
    <w:p>
      <w:pPr>
        <w:pStyle w:val="961"/>
        <w:pBdr/>
        <w:spacing/>
        <w:ind/>
        <w:jc w:val="both"/>
        <w:rPr>
          <w:b/>
          <w:bCs/>
        </w:rPr>
      </w:pPr>
      <w:r>
        <w:rPr>
          <w:b/>
          <w:bCs/>
        </w:rPr>
      </w:r>
      <w:r>
        <w:rPr>
          <w:b/>
          <w:bCs/>
        </w:rPr>
      </w:r>
    </w:p>
    <w:p>
      <w:pPr>
        <w:pStyle w:val="961"/>
        <w:pBdr/>
        <w:spacing/>
        <w:ind/>
        <w:jc w:val="both"/>
        <w:rPr/>
      </w:pPr>
      <w:r>
        <w:rPr>
          <w:b/>
          <w:bCs/>
        </w:rPr>
        <w:t xml:space="preserve">13.1.</w:t>
      </w:r>
      <w:r>
        <w:t xml:space="preserve"> Em conformidade com o disposto nos arts. 23, §1º, e 61 da Lei nº 14.133/2021, bem como no </w:t>
      </w:r>
      <w:r>
        <w:t xml:space="preserve">Decreto Municipal nº 11.685/2023, a estimativa de preços da presente contratação foi elaborada de forma técnica, criteriosa e fundamentada, com a finalidade de assegurar a seleção da proposta mais vantajosa à Administração e o adequado planejamento orçamen</w:t>
      </w:r>
      <w:r>
        <w:t xml:space="preserve">tário.</w:t>
      </w:r>
      <w:r/>
    </w:p>
    <w:p>
      <w:pPr>
        <w:pStyle w:val="961"/>
        <w:pBdr/>
        <w:spacing/>
        <w:ind/>
        <w:jc w:val="both"/>
        <w:rPr/>
      </w:pPr>
      <w:r>
        <w:rPr>
          <w:b/>
          <w:bCs/>
        </w:rPr>
        <w:t xml:space="preserve">13.2. </w:t>
      </w:r>
      <w:r>
        <w:t xml:space="preserve">A pesquisa de preços foi realizada mediante consulta a fontes formais e idôneas, observando a correspondência entre as especificações técnicas, unidades de medida e quantitativos definidos para cada item.</w:t>
      </w:r>
      <w:r/>
    </w:p>
    <w:p>
      <w:pPr>
        <w:pStyle w:val="961"/>
        <w:pBdr/>
        <w:spacing/>
        <w:ind/>
        <w:jc w:val="both"/>
        <w:rPr/>
      </w:pPr>
      <w:r>
        <w:rPr>
          <w:b/>
          <w:bCs/>
        </w:rPr>
        <w:t xml:space="preserve">13.2.1.</w:t>
      </w:r>
      <w:r>
        <w:t xml:space="preserve"> A pesquisa de preços foi mater</w:t>
      </w:r>
      <w:r>
        <w:t xml:space="preserve">ializada em documento próprio constante dos autos, contendo a descrição do objeto, a identificação dos agentes responsáveis pela pesquisa, a caracterização das fontes consultadas, a série de preços coletados e a memória de cálculo utilizada para a definiçã</w:t>
      </w:r>
      <w:r>
        <w:t xml:space="preserve">o do valor estimado, em conformidade com a metodologia adotada pela Administração.</w:t>
      </w:r>
      <w:r/>
    </w:p>
    <w:p>
      <w:pPr>
        <w:pStyle w:val="961"/>
        <w:pBdr/>
        <w:spacing/>
        <w:ind/>
        <w:jc w:val="both"/>
        <w:rPr/>
      </w:pPr>
      <w:r>
        <w:rPr>
          <w:b/>
          <w:bCs/>
        </w:rPr>
        <w:t xml:space="preserve">13.2.2. </w:t>
      </w:r>
      <w:r>
        <w:t xml:space="preserve">As fontes consultadas foram selecionadas com observância à compatibilidade entre o objet</w:t>
      </w:r>
      <w:r>
        <w:t xml:space="preserve">o pesquisado e os itens pretendidos, incluindo sistemas públicos de preços, contratações similares, bases oficiais e cotações formais de fornecedores do ramo, de modo a assegurar rastreabilidade, transparência e aderência aos valores praticados no mercado.</w:t>
      </w:r>
      <w:r/>
    </w:p>
    <w:p>
      <w:pPr>
        <w:pStyle w:val="961"/>
        <w:pBdr/>
        <w:spacing/>
        <w:ind/>
        <w:jc w:val="both"/>
        <w:rPr/>
      </w:pPr>
      <w:r>
        <w:rPr>
          <w:b/>
          <w:bCs/>
        </w:rPr>
        <w:t xml:space="preserve">13.3. </w:t>
      </w:r>
      <w:r>
        <w:t xml:space="preserve">Foram utilizadas, como parâmetros de formação de preços, consultas ao </w:t>
      </w:r>
      <w:r>
        <w:t xml:space="preserve">Banco de Preços, com base em contratações públicas anteriores de objetos similares, bem como a coleta de orçamentos junto a empresas privadas especializadas no fornecimento de equipamentos, ferramentas e materiais de marcenaria.</w:t>
      </w:r>
      <w:r/>
    </w:p>
    <w:p>
      <w:pPr>
        <w:pStyle w:val="961"/>
        <w:pBdr/>
        <w:spacing/>
        <w:ind/>
        <w:jc w:val="both"/>
        <w:rPr/>
      </w:pPr>
      <w:r>
        <w:rPr>
          <w:b/>
          <w:bCs/>
        </w:rPr>
        <w:t xml:space="preserve">13.3.1. </w:t>
      </w:r>
      <w:r>
        <w:t xml:space="preserve">A seleção das empre</w:t>
      </w:r>
      <w:r>
        <w:t xml:space="preserve">sas privadas consultadas para composição da pesquisa de preços observou critérios objetivos, notadamente a pertinência ao ramo de atividade relacionado ao objeto, a compatibilidade comercial com os itens pesquisados, a aptidão para fornecimento regular dos</w:t>
      </w:r>
      <w:r>
        <w:t xml:space="preserve"> materiais pretendidos, a capacidade de apresentação de proposta formal válida e a busca por referências mercadológicas idôneas, aptas a refletir os preços efetivamente praticados no mercado.</w:t>
      </w:r>
      <w:r/>
    </w:p>
    <w:p>
      <w:pPr>
        <w:pStyle w:val="961"/>
        <w:pBdr/>
        <w:spacing/>
        <w:ind/>
        <w:jc w:val="both"/>
        <w:rPr/>
      </w:pPr>
      <w:r>
        <w:rPr>
          <w:b/>
          <w:bCs/>
        </w:rPr>
        <w:t xml:space="preserve">13.3.2. </w:t>
      </w:r>
      <w:r>
        <w:t xml:space="preserve">Tal procedimento visa demonstrar a motivação administrat</w:t>
      </w:r>
      <w:r>
        <w:t xml:space="preserve">iva quanto à escolha dos fornecedores consultados, assegurar maior transparência à formação do orçamento estimativo e atender aos princípios da legalidade, publicidade, economicidade, eficiência e interesse público, conferindo robustez e rastreabilidade à </w:t>
      </w:r>
      <w:r>
        <w:t xml:space="preserve">pesquisa mercadológica realizada.</w:t>
      </w:r>
      <w:r/>
    </w:p>
    <w:p>
      <w:pPr>
        <w:pStyle w:val="961"/>
        <w:pBdr/>
        <w:spacing/>
        <w:ind/>
        <w:jc w:val="both"/>
        <w:rPr/>
      </w:pPr>
      <w:r>
        <w:rPr>
          <w:b/>
          <w:bCs/>
        </w:rPr>
        <w:t xml:space="preserve">13.4. </w:t>
      </w:r>
      <w:r>
        <w:t xml:space="preserve">As cotações obtidas apresentaram descrição detalhada dos itens, unidade de fornecimento, marca ou referência compatível quando aplicável, quantitativos estimados e valores unitários e totais, permitindo análise comparativa adequada.</w:t>
      </w:r>
      <w:r/>
    </w:p>
    <w:p>
      <w:pPr>
        <w:pStyle w:val="961"/>
        <w:pBdr/>
        <w:spacing/>
        <w:ind/>
        <w:jc w:val="both"/>
        <w:rPr/>
      </w:pPr>
      <w:r>
        <w:rPr>
          <w:b/>
          <w:bCs/>
        </w:rPr>
        <w:t xml:space="preserve">13.4.1. </w:t>
      </w:r>
      <w:r>
        <w:t xml:space="preserve">Para a definição do valor estimado, foi adotado método estatístico compatível com a natureza da contratação, utilizando-se a média aritmética dos preços válidos obtidos, após exclusão fundamentada dos valores manifestamente inexequ</w:t>
      </w:r>
      <w:r>
        <w:t xml:space="preserve">íveis, inconsistentes ou excessivamente elevados, conforme justificativa técnica constante dos autos.</w:t>
      </w:r>
      <w:r/>
    </w:p>
    <w:p>
      <w:pPr>
        <w:pStyle w:val="961"/>
        <w:pBdr/>
        <w:spacing/>
        <w:ind/>
        <w:jc w:val="both"/>
        <w:rPr/>
      </w:pPr>
      <w:r>
        <w:rPr>
          <w:b/>
          <w:bCs/>
        </w:rPr>
        <w:t xml:space="preserve">13.4.2.</w:t>
      </w:r>
      <w:r>
        <w:t xml:space="preserve"> A memória de cálculo detalhada, o mapa comparativo de preços e os documentos comprobatórios das fontes consultadas integram os autos do processo administrativo, servindo de suporte à formação do valor estimado da contratação.</w:t>
      </w:r>
      <w:r/>
    </w:p>
    <w:p>
      <w:pPr>
        <w:pStyle w:val="961"/>
        <w:pBdr/>
        <w:spacing/>
        <w:ind/>
        <w:jc w:val="both"/>
        <w:rPr/>
      </w:pPr>
      <w:r>
        <w:rPr>
          <w:b/>
          <w:bCs/>
        </w:rPr>
        <w:t xml:space="preserve">13.5.</w:t>
      </w:r>
      <w:r>
        <w:t xml:space="preserve"> A consolidação do valor estimado foi realizada por meio da média aritmética dos preços válidos coletados para cada item, resultando nos valores unitários estimados e no v</w:t>
      </w:r>
      <w:r>
        <w:t xml:space="preserve">alor global da contratação, conforme planilha consolidada que integra o processo administrativo.</w:t>
      </w:r>
      <w:r/>
    </w:p>
    <w:p>
      <w:pPr>
        <w:pStyle w:val="961"/>
        <w:pBdr/>
        <w:spacing/>
        <w:ind/>
        <w:jc w:val="both"/>
        <w:rPr/>
      </w:pPr>
      <w:r>
        <w:rPr>
          <w:b/>
          <w:bCs/>
        </w:rPr>
        <w:t xml:space="preserve">13.6. </w:t>
      </w:r>
      <w:r>
        <w:t xml:space="preserve">A metodologia adotada assegura transparência, rastreabilidade e coerência na formação do preço estimado, observando os princípios da legalidade, planejamento, eficiência, economicidade e vantajosidade que regem as contratações públicas.</w:t>
      </w:r>
      <w:r/>
    </w:p>
    <w:p>
      <w:pPr>
        <w:pStyle w:val="828"/>
        <w:pBdr/>
        <w:spacing/>
        <w:ind/>
        <w:jc w:val="both"/>
        <w:rPr>
          <w:highlight w:val="magenta"/>
        </w:rPr>
      </w:pPr>
      <w:r>
        <w:rPr>
          <w:highlight w:val="magenta"/>
        </w:rPr>
      </w:r>
      <w:r>
        <w:rPr>
          <w:highlight w:val="magenta"/>
        </w:rPr>
      </w:r>
    </w:p>
    <w:p>
      <w:pPr>
        <w:pStyle w:val="828"/>
        <w:pBdr/>
        <w:shd w:val="clear" w:color="auto" w:fill="cccccc"/>
        <w:spacing/>
        <w:ind/>
        <w:jc w:val="both"/>
        <w:rPr/>
      </w:pPr>
      <w:r>
        <w:rPr>
          <w:b/>
          <w:bCs/>
        </w:rPr>
        <w:t xml:space="preserve">14 – DO SISTEMA DE REGISTRO DE PREÇO</w:t>
      </w:r>
      <w:r/>
    </w:p>
    <w:p>
      <w:pPr>
        <w:pStyle w:val="828"/>
        <w:pBdr/>
        <w:spacing/>
        <w:ind/>
        <w:jc w:val="both"/>
        <w:rPr>
          <w:highlight w:val="magenta"/>
        </w:rPr>
      </w:pPr>
      <w:r>
        <w:rPr>
          <w:highlight w:val="magenta"/>
        </w:rPr>
      </w:r>
      <w:r>
        <w:rPr>
          <w:highlight w:val="magenta"/>
        </w:rPr>
      </w:r>
    </w:p>
    <w:p>
      <w:pPr>
        <w:pStyle w:val="984"/>
        <w:pBdr/>
        <w:spacing/>
        <w:ind/>
        <w:jc w:val="both"/>
        <w:rPr>
          <w:sz w:val="20"/>
          <w:szCs w:val="20"/>
        </w:rPr>
      </w:pPr>
      <w:r>
        <w:rPr>
          <w:rStyle w:val="902"/>
          <w:sz w:val="20"/>
          <w:szCs w:val="20"/>
        </w:rPr>
        <w:t xml:space="preserve">14.1.</w:t>
      </w:r>
      <w:r>
        <w:rPr>
          <w:sz w:val="20"/>
          <w:szCs w:val="20"/>
        </w:rPr>
        <w:t xml:space="preserve"> A adoção do Sistema de Registro de Preços justifica-se pela necessidade de estruturar a marcenaria da Secretaria Municipal de S</w:t>
      </w:r>
      <w:r>
        <w:rPr>
          <w:sz w:val="20"/>
          <w:szCs w:val="20"/>
        </w:rPr>
        <w:t xml:space="preserve">aúde, </w:t>
      </w:r>
      <w:r>
        <w:rPr>
          <w:b/>
          <w:bCs/>
          <w:sz w:val="20"/>
          <w:szCs w:val="20"/>
        </w:rPr>
        <w:t xml:space="preserve">vinculada ao Setor de Engenharia</w:t>
      </w:r>
      <w:r>
        <w:rPr>
          <w:sz w:val="20"/>
          <w:szCs w:val="20"/>
        </w:rPr>
        <w:t xml:space="preserve">, de forma a permitir aquisições conforme a efetiva necessidade operacional, especialmente para itens de consumo e insumos destinados à fabricação, montagem e manutenção de móveis planejados nas unidades da rede municipal.</w:t>
      </w:r>
      <w:r>
        <w:rPr>
          <w:sz w:val="20"/>
          <w:szCs w:val="20"/>
        </w:rPr>
      </w:r>
    </w:p>
    <w:p>
      <w:pPr>
        <w:pStyle w:val="984"/>
        <w:pBdr/>
        <w:spacing/>
        <w:ind/>
        <w:jc w:val="both"/>
        <w:rPr>
          <w:sz w:val="20"/>
          <w:szCs w:val="20"/>
        </w:rPr>
      </w:pPr>
      <w:r>
        <w:rPr>
          <w:b/>
          <w:bCs/>
          <w:sz w:val="20"/>
          <w:szCs w:val="20"/>
        </w:rPr>
        <w:t xml:space="preserve">14.1.1. </w:t>
      </w:r>
      <w:r>
        <w:rPr>
          <w:sz w:val="20"/>
          <w:szCs w:val="20"/>
        </w:rPr>
        <w:t xml:space="preserve">A contratação busca conferir maior economicidade à Administração, reduzindo despesas com contratações externas para serviços de marcenaria e ampliando a capacidade interna de resposta às demandas das unidades de saúde.</w:t>
      </w:r>
      <w:r>
        <w:rPr>
          <w:sz w:val="20"/>
          <w:szCs w:val="20"/>
        </w:rPr>
      </w:r>
    </w:p>
    <w:p>
      <w:pPr>
        <w:pStyle w:val="984"/>
        <w:pBdr/>
        <w:spacing/>
        <w:ind/>
        <w:jc w:val="both"/>
        <w:rPr>
          <w:sz w:val="20"/>
          <w:szCs w:val="20"/>
        </w:rPr>
      </w:pPr>
      <w:r>
        <w:rPr>
          <w:rStyle w:val="902"/>
          <w:sz w:val="20"/>
          <w:szCs w:val="20"/>
        </w:rPr>
        <w:t xml:space="preserve">14.2.</w:t>
      </w:r>
      <w:r>
        <w:rPr>
          <w:sz w:val="20"/>
          <w:szCs w:val="20"/>
        </w:rPr>
        <w:t xml:space="preserve"> Para os itens clas</w:t>
      </w:r>
      <w:r>
        <w:rPr>
          <w:sz w:val="20"/>
          <w:szCs w:val="20"/>
        </w:rPr>
        <w:t xml:space="preserve">sif</w:t>
      </w:r>
      <w:r>
        <w:rPr>
          <w:sz w:val="20"/>
          <w:szCs w:val="20"/>
        </w:rPr>
        <w:t xml:space="preserve">icados como equipamentos e ferramentas, as entregas deverão ocorrer de forma integral, conforme quantitativos demandados em cada solicitação formal da Administração, em razão de sua natureza permanente e da necessidade de imediata disponibilidade para uso.</w:t>
      </w:r>
      <w:r>
        <w:rPr>
          <w:sz w:val="20"/>
          <w:szCs w:val="20"/>
        </w:rPr>
      </w:r>
    </w:p>
    <w:p>
      <w:pPr>
        <w:pStyle w:val="984"/>
        <w:pBdr/>
        <w:spacing/>
        <w:ind/>
        <w:jc w:val="both"/>
        <w:rPr>
          <w:sz w:val="20"/>
          <w:szCs w:val="20"/>
        </w:rPr>
      </w:pPr>
      <w:r>
        <w:rPr>
          <w:rStyle w:val="902"/>
          <w:sz w:val="20"/>
          <w:szCs w:val="20"/>
        </w:rPr>
        <w:t xml:space="preserve">14.3.</w:t>
      </w:r>
      <w:r>
        <w:rPr>
          <w:sz w:val="20"/>
          <w:szCs w:val="20"/>
        </w:rPr>
        <w:t xml:space="preserve"> Para os insumos e materiais de consumo, admite-se o fornecimento parcelado, de acordo com as necessidades da Administração, considerando a variabilidade da demanda, a rotatividade dos estoques e a impossibilidade de definição prévia de quantitati</w:t>
      </w:r>
      <w:r>
        <w:rPr>
          <w:sz w:val="20"/>
          <w:szCs w:val="20"/>
        </w:rPr>
        <w:t xml:space="preserve">vos fixos para entrega imediata.</w:t>
      </w:r>
      <w:r>
        <w:rPr>
          <w:sz w:val="20"/>
          <w:szCs w:val="20"/>
        </w:rPr>
      </w:r>
    </w:p>
    <w:p>
      <w:pPr>
        <w:pStyle w:val="984"/>
        <w:pBdr/>
        <w:spacing/>
        <w:ind/>
        <w:jc w:val="both"/>
        <w:rPr>
          <w:sz w:val="20"/>
          <w:szCs w:val="20"/>
        </w:rPr>
      </w:pPr>
      <w:r>
        <w:rPr>
          <w:rStyle w:val="902"/>
          <w:sz w:val="20"/>
          <w:szCs w:val="20"/>
        </w:rPr>
        <w:t xml:space="preserve">14.4.</w:t>
      </w:r>
      <w:r>
        <w:rPr>
          <w:sz w:val="20"/>
          <w:szCs w:val="20"/>
        </w:rPr>
        <w:t xml:space="preserve"> Nos termos do art. 294, incisos II e IV, do Decreto Municipal nº 11.685/202</w:t>
      </w:r>
      <w:r>
        <w:rPr>
          <w:sz w:val="20"/>
          <w:szCs w:val="20"/>
        </w:rPr>
        <w:t xml:space="preserve">3, a utilização do SRP fundamenta-se na necessidade de aquisições frequentes, na previsão de entregas parceladas para itens de consumo e na demanda variável, revelando-se inadequada a contratação com quantitativos previamente definidos para execução única.</w:t>
      </w:r>
      <w:r>
        <w:rPr>
          <w:sz w:val="20"/>
          <w:szCs w:val="20"/>
        </w:rPr>
      </w:r>
    </w:p>
    <w:p>
      <w:pPr>
        <w:pStyle w:val="984"/>
        <w:pBdr/>
        <w:spacing/>
        <w:ind/>
        <w:jc w:val="both"/>
        <w:rPr>
          <w:sz w:val="20"/>
          <w:szCs w:val="20"/>
        </w:rPr>
      </w:pPr>
      <w:r>
        <w:rPr>
          <w:rStyle w:val="902"/>
          <w:sz w:val="20"/>
          <w:szCs w:val="20"/>
        </w:rPr>
        <w:t xml:space="preserve">14.5.</w:t>
      </w:r>
      <w:r>
        <w:rPr>
          <w:sz w:val="20"/>
          <w:szCs w:val="20"/>
        </w:rPr>
        <w:t xml:space="preserve"> A sistemática do SRP assegura maior eficiência, economicidade e planejamento das contratações, em conformidade com os arts. 11 e 18 da </w:t>
      </w:r>
      <w:r>
        <w:rPr>
          <w:sz w:val="20"/>
          <w:szCs w:val="20"/>
        </w:rPr>
        <w:t xml:space="preserve">Lei nº 14.133/2021, permitindo a convocação do fornecedor registrado sempre que houver necessidade, dentro da vigência da ata, evitando aquisições emergenciais e promovendo a adequada gestão dos recursos públicos.</w:t>
      </w:r>
      <w:r>
        <w:rPr>
          <w:sz w:val="20"/>
          <w:szCs w:val="20"/>
        </w:rPr>
      </w:r>
    </w:p>
    <w:p>
      <w:pPr>
        <w:pStyle w:val="984"/>
        <w:pBdr/>
        <w:spacing/>
        <w:ind/>
        <w:jc w:val="both"/>
        <w:rPr>
          <w:b/>
          <w:bCs/>
          <w:sz w:val="20"/>
          <w:szCs w:val="20"/>
        </w:rPr>
      </w:pPr>
      <w:r>
        <w:rPr>
          <w:b/>
          <w:bCs/>
          <w:sz w:val="20"/>
          <w:szCs w:val="20"/>
        </w:rPr>
        <w:t xml:space="preserve">14.6. Do Cadastro de Reserva</w:t>
      </w:r>
      <w:r>
        <w:rPr>
          <w:b/>
          <w:bCs/>
          <w:sz w:val="20"/>
          <w:szCs w:val="20"/>
        </w:rPr>
      </w:r>
    </w:p>
    <w:p>
      <w:pPr>
        <w:pStyle w:val="984"/>
        <w:pBdr/>
        <w:spacing/>
        <w:ind/>
        <w:jc w:val="both"/>
        <w:rPr>
          <w:sz w:val="20"/>
          <w:szCs w:val="20"/>
        </w:rPr>
      </w:pPr>
      <w:r>
        <w:rPr>
          <w:b/>
          <w:bCs/>
          <w:sz w:val="20"/>
          <w:szCs w:val="20"/>
        </w:rPr>
        <w:t xml:space="preserve">14.6.1. </w:t>
      </w:r>
      <w:r>
        <w:rPr>
          <w:sz w:val="20"/>
          <w:szCs w:val="20"/>
        </w:rPr>
        <w:t xml:space="preserve">Em ob</w:t>
      </w:r>
      <w:r>
        <w:rPr>
          <w:sz w:val="20"/>
          <w:szCs w:val="20"/>
        </w:rPr>
        <w:t xml:space="preserve">servância ao art. 82, inciso VII, da Lei nº 14.133/2021, será constituído cadastro de reserva na Ata de Registro de Preços, com a inclusão dos licitantes que aceitarem cotar os bens em preços iguais aos do licitante vencedor, na sequência de classificação </w:t>
      </w:r>
      <w:r>
        <w:rPr>
          <w:sz w:val="20"/>
          <w:szCs w:val="20"/>
        </w:rPr>
        <w:t xml:space="preserve">da licitação, bem como daqueles que mantiverem sua proposta original. A preferência de contratação observará rigorosamente a ordem de classificação.</w:t>
      </w:r>
      <w:r>
        <w:rPr>
          <w:sz w:val="20"/>
          <w:szCs w:val="20"/>
        </w:rPr>
      </w:r>
    </w:p>
    <w:p>
      <w:pPr>
        <w:pStyle w:val="828"/>
        <w:pBdr/>
        <w:shd w:val="clear" w:color="auto" w:fill="cccccc"/>
        <w:spacing/>
        <w:ind/>
        <w:jc w:val="both"/>
        <w:rPr/>
      </w:pPr>
      <w:r>
        <w:rPr>
          <w:b/>
          <w:bCs/>
        </w:rPr>
        <w:t xml:space="preserve">15 – ADEQUAÇÃO ORÇAMENTÁRIA</w:t>
      </w:r>
      <w:r/>
    </w:p>
    <w:p>
      <w:pPr>
        <w:pStyle w:val="828"/>
        <w:pBdr/>
        <w:spacing/>
        <w:ind/>
        <w:jc w:val="both"/>
        <w:rPr/>
      </w:pPr>
      <w:r/>
      <w:r/>
    </w:p>
    <w:p>
      <w:pPr>
        <w:pStyle w:val="828"/>
        <w:pBdr/>
        <w:spacing/>
        <w:ind/>
        <w:jc w:val="both"/>
        <w:rPr/>
      </w:pPr>
      <w:r>
        <w:rPr>
          <w:b/>
          <w:bCs/>
        </w:rPr>
        <w:t xml:space="preserve">15.1.</w:t>
      </w:r>
      <w:r>
        <w:t xml:space="preserve"> Esta </w:t>
      </w:r>
      <w:r>
        <w:rPr>
          <w:color w:val="000000"/>
          <w:lang w:eastAsia="pt-BR"/>
        </w:rPr>
        <w:t xml:space="preserve">aquisição</w:t>
      </w:r>
      <w:r>
        <w:t xml:space="preserve"> está adequada financeiramente e em conformidade com a lei de diretrizes orçamentarias e com o Plano Plurianual:</w:t>
      </w:r>
      <w:r/>
    </w:p>
    <w:p>
      <w:pPr>
        <w:pStyle w:val="828"/>
        <w:pBdr/>
        <w:spacing/>
        <w:ind/>
        <w:jc w:val="both"/>
        <w:rPr/>
      </w:pPr>
      <w:r>
        <w:rPr>
          <w:b/>
          <w:bCs/>
        </w:rPr>
        <w:t xml:space="preserve">15.1.1. </w:t>
      </w:r>
      <w:r>
        <w:t xml:space="preserve">Plano Plurianual (PPA): </w:t>
      </w:r>
      <w:r>
        <w:rPr>
          <w:color w:val="000000"/>
          <w:lang w:eastAsia="pt-BR"/>
        </w:rPr>
        <w:t xml:space="preserve">A aquisição</w:t>
      </w:r>
      <w:r>
        <w:t xml:space="preserve"> se alinha com as metas do governo para quatro anos.</w:t>
      </w:r>
      <w:r/>
    </w:p>
    <w:p>
      <w:pPr>
        <w:pStyle w:val="828"/>
        <w:pBdr/>
        <w:spacing/>
        <w:ind/>
        <w:jc w:val="both"/>
        <w:rPr/>
      </w:pPr>
      <w:r>
        <w:rPr>
          <w:b/>
          <w:bCs/>
        </w:rPr>
        <w:t xml:space="preserve">15.1.2. </w:t>
      </w:r>
      <w:r>
        <w:t xml:space="preserve">Uso Eficiente dos Recursos: Os recursos </w:t>
      </w:r>
      <w:r>
        <w:rPr>
          <w:color w:val="000000"/>
          <w:lang w:eastAsia="pt-BR"/>
        </w:rPr>
        <w:t xml:space="preserve">estão sendo </w:t>
      </w:r>
      <w:r>
        <w:t xml:space="preserve">aplicados de forma transparente e eficiente, </w:t>
      </w:r>
      <w:r>
        <w:t xml:space="preserve">considerando custos e benefícios.</w:t>
      </w:r>
      <w:r/>
    </w:p>
    <w:p>
      <w:pPr>
        <w:pStyle w:val="828"/>
        <w:pBdr/>
        <w:spacing/>
        <w:ind/>
        <w:jc w:val="both"/>
        <w:rPr/>
      </w:pPr>
      <w:r>
        <w:rPr>
          <w:b/>
          <w:bCs/>
        </w:rPr>
        <w:t xml:space="preserve">15.2.</w:t>
      </w:r>
      <w:r>
        <w:t xml:space="preserve"> Da Classificação Orçamentária:</w:t>
      </w:r>
      <w:r/>
    </w:p>
    <w:p>
      <w:pPr>
        <w:pStyle w:val="828"/>
        <w:pBdr/>
        <w:spacing/>
        <w:ind/>
        <w:jc w:val="both"/>
        <w:rPr>
          <w:iCs/>
          <w:lang w:eastAsia="pt-BR"/>
        </w:rPr>
      </w:pPr>
      <w:r>
        <w:rPr>
          <w:b/>
          <w:bCs/>
          <w:iCs/>
          <w:lang w:eastAsia="pt-BR"/>
        </w:rPr>
        <w:t xml:space="preserve">15.2.1. </w:t>
      </w:r>
      <w:r>
        <w:rPr>
          <w:iCs/>
          <w:lang w:eastAsia="pt-BR"/>
        </w:rPr>
        <w:t xml:space="preserve">ÓRGÃO: 02 – Prefeitura Municipal de Rondonópolis UNIDADE: 14 – Fundo Municipal de Saúde. </w:t>
      </w:r>
      <w:r>
        <w:rPr>
          <w:iCs/>
          <w:lang w:eastAsia="pt-BR"/>
        </w:rPr>
      </w:r>
    </w:p>
    <w:p>
      <w:pPr>
        <w:pStyle w:val="828"/>
        <w:pBdr/>
        <w:spacing/>
        <w:ind/>
        <w:jc w:val="both"/>
        <w:rPr>
          <w:iCs/>
          <w:lang w:eastAsia="pt-BR"/>
        </w:rPr>
      </w:pPr>
      <w:r>
        <w:rPr>
          <w:iCs/>
          <w:lang w:eastAsia="pt-BR"/>
        </w:rPr>
      </w:r>
      <w:r>
        <w:rPr>
          <w:iCs/>
          <w:lang w:eastAsia="pt-BR"/>
        </w:rPr>
      </w:r>
    </w:p>
    <w:p>
      <w:pPr>
        <w:pStyle w:val="828"/>
        <w:pBdr/>
        <w:spacing/>
        <w:ind/>
        <w:jc w:val="both"/>
        <w:rPr>
          <w:iCs/>
          <w:lang w:eastAsia="pt-BR"/>
        </w:rPr>
      </w:pPr>
      <w:r>
        <w:rPr>
          <w:iCs/>
          <w:lang w:eastAsia="pt-BR"/>
        </w:rPr>
      </w:r>
      <w:r>
        <w:rPr>
          <w:iCs/>
          <w:lang w:eastAsia="pt-BR"/>
        </w:rPr>
      </w:r>
    </w:p>
    <w:p>
      <w:pPr>
        <w:pStyle w:val="828"/>
        <w:pBdr/>
        <w:spacing/>
        <w:ind/>
        <w:jc w:val="center"/>
        <w:rPr>
          <w:b/>
          <w:u w:val="single"/>
        </w:rPr>
      </w:pPr>
      <w:r>
        <w:rPr>
          <w:b/>
          <w:u w:val="single"/>
        </w:rPr>
        <w:t xml:space="preserve">EQUIPAMENTOS E MATERIAL PERMANENTE</w:t>
      </w:r>
      <w:r>
        <w:rPr>
          <w:b/>
          <w:u w:val="single"/>
        </w:rPr>
      </w:r>
    </w:p>
    <w:p>
      <w:pPr>
        <w:pStyle w:val="828"/>
        <w:pBdr/>
        <w:spacing/>
        <w:ind/>
        <w:jc w:val="both"/>
        <w:rPr>
          <w:b/>
          <w:u w:val="single"/>
        </w:rPr>
      </w:pPr>
      <w:r>
        <w:rPr>
          <w:b/>
          <w:u w:val="single"/>
        </w:rPr>
      </w:r>
      <w:r>
        <w:rPr>
          <w:b/>
          <w:u w:val="single"/>
        </w:rPr>
      </w:r>
    </w:p>
    <w:tbl>
      <w:tblPr>
        <w:tblInd w:w="848" w:type="dxa"/>
        <w:tblW w:w="8537"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62"/>
        <w:gridCol w:w="6675"/>
      </w:tblGrid>
      <w:tr>
        <w:trPr>
          <w:trHeight w:val="141"/>
        </w:trPr>
        <w:tc>
          <w:tcPr>
            <w:gridSpan w:val="2"/>
            <w:tcBorders>
              <w:top w:val="single" w:color="auto" w:sz="4" w:space="0"/>
              <w:left w:val="single" w:color="auto" w:sz="4" w:space="0"/>
              <w:bottom w:val="single" w:color="auto" w:sz="4" w:space="0"/>
              <w:right w:val="single" w:color="auto" w:sz="4" w:space="0"/>
            </w:tcBorders>
            <w:tcW w:w="8537" w:type="dxa"/>
            <w:vAlign w:val="center"/>
            <w:textDirection w:val="lrTb"/>
            <w:noWrap w:val="false"/>
          </w:tcPr>
          <w:p>
            <w:pPr>
              <w:pStyle w:val="828"/>
              <w:pBdr/>
              <w:spacing/>
              <w:ind/>
              <w:jc w:val="center"/>
              <w:rPr/>
            </w:pPr>
            <w:r>
              <w:rPr>
                <w:b/>
                <w:color w:val="000000"/>
                <w:lang w:eastAsia="pt-BR"/>
              </w:rPr>
              <w:t xml:space="preserve">CLASSIFICAÇÃO ORÇAMENTÁRIA DA DESPESA</w:t>
            </w:r>
            <w:r/>
          </w:p>
        </w:tc>
      </w:tr>
      <w:tr>
        <w:trPr>
          <w:trHeight w:val="141"/>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014 – FUNDO MUNICIPAL DE SAÚDE</w:t>
            </w:r>
            <w:r/>
          </w:p>
        </w:tc>
      </w:tr>
      <w:tr>
        <w:trPr>
          <w:trHeight w:val="160"/>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10.122.2204.1041 – EQUIPAR A GESTÃO DO SUS</w:t>
            </w:r>
            <w:r/>
          </w:p>
        </w:tc>
      </w:tr>
      <w:tr>
        <w:trPr>
          <w:trHeight w:val="152"/>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4.4.90.52.00.00 – EQUIPAMENTOS E MATERIAL PERMANENTE</w:t>
            </w:r>
            <w:r/>
          </w:p>
        </w:tc>
      </w:tr>
      <w:tr>
        <w:trPr>
          <w:trHeight w:val="155"/>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b/>
              </w:rPr>
            </w:pPr>
            <w:r>
              <w:rPr>
                <w:b/>
              </w:rPr>
              <w:t xml:space="preserve">699</w:t>
            </w:r>
            <w:r>
              <w:rPr>
                <w:b/>
              </w:rPr>
            </w:r>
          </w:p>
        </w:tc>
      </w:tr>
      <w:tr>
        <w:trPr>
          <w:trHeight w:val="98"/>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1</w:t>
            </w:r>
            <w:r>
              <w:t xml:space="preserve">.500.1002000</w:t>
            </w:r>
            <w:r/>
          </w:p>
        </w:tc>
      </w:tr>
    </w:tbl>
    <w:p>
      <w:pPr>
        <w:pStyle w:val="828"/>
        <w:pBdr/>
        <w:spacing/>
        <w:ind/>
        <w:jc w:val="both"/>
        <w:rPr>
          <w:b/>
          <w:u w:val="single"/>
        </w:rPr>
      </w:pPr>
      <w:r>
        <w:rPr>
          <w:b/>
          <w:u w:val="single"/>
        </w:rPr>
      </w:r>
      <w:r>
        <w:rPr>
          <w:b/>
          <w:u w:val="single"/>
        </w:rPr>
      </w:r>
    </w:p>
    <w:tbl>
      <w:tblPr>
        <w:tblInd w:w="848" w:type="dxa"/>
        <w:tblW w:w="8525"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62"/>
        <w:gridCol w:w="6663"/>
      </w:tblGrid>
      <w:tr>
        <w:trPr>
          <w:trHeight w:val="151"/>
        </w:trPr>
        <w:tc>
          <w:tcPr>
            <w:gridSpan w:val="2"/>
            <w:tcBorders>
              <w:top w:val="single" w:color="auto" w:sz="4" w:space="0"/>
              <w:left w:val="single" w:color="auto" w:sz="4" w:space="0"/>
              <w:bottom w:val="single" w:color="auto" w:sz="4" w:space="0"/>
              <w:right w:val="single" w:color="auto" w:sz="4" w:space="0"/>
            </w:tcBorders>
            <w:tcW w:w="8525"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51"/>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014 – FUNDO MUNICIPAL DE SAÚDE </w:t>
            </w:r>
            <w:r/>
          </w:p>
        </w:tc>
      </w:tr>
      <w:tr>
        <w:trPr>
          <w:trHeight w:val="170"/>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10.301.2202.1036 – EQUIPAR A ATENÇÃO PRIMÁRIA À SAÚDE - APS</w:t>
            </w:r>
            <w:r/>
          </w:p>
        </w:tc>
      </w:tr>
      <w:tr>
        <w:trPr>
          <w:trHeight w:val="108"/>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4.4.90.52.00.00 – EQUIPAMENTOS E MATERIAL PERMANENTE</w:t>
            </w:r>
            <w:r/>
          </w:p>
        </w:tc>
      </w:tr>
      <w:tr>
        <w:trPr>
          <w:trHeight w:val="162"/>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b/>
              </w:rPr>
            </w:pPr>
            <w:r>
              <w:rPr>
                <w:b/>
              </w:rPr>
              <w:t xml:space="preserve">688</w:t>
            </w:r>
            <w:r>
              <w:rPr>
                <w:b/>
              </w:rPr>
            </w:r>
          </w:p>
        </w:tc>
      </w:tr>
      <w:tr>
        <w:trPr>
          <w:trHeight w:val="98"/>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1.500.1002000</w:t>
            </w:r>
            <w:r/>
          </w:p>
        </w:tc>
      </w:tr>
    </w:tbl>
    <w:p>
      <w:pPr>
        <w:pStyle w:val="828"/>
        <w:pBdr/>
        <w:spacing/>
        <w:ind/>
        <w:jc w:val="both"/>
        <w:rPr>
          <w:b/>
          <w:u w:val="single"/>
        </w:rPr>
      </w:pPr>
      <w:r>
        <w:rPr>
          <w:b/>
          <w:u w:val="single"/>
        </w:rPr>
      </w:r>
      <w:r>
        <w:rPr>
          <w:b/>
          <w:u w:val="single"/>
        </w:rPr>
      </w:r>
    </w:p>
    <w:tbl>
      <w:tblPr>
        <w:tblInd w:w="835" w:type="dxa"/>
        <w:tblW w:w="8538"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63"/>
        <w:gridCol w:w="6675"/>
      </w:tblGrid>
      <w:tr>
        <w:trPr>
          <w:trHeight w:val="130"/>
        </w:trPr>
        <w:tc>
          <w:tcPr>
            <w:gridSpan w:val="2"/>
            <w:tcBorders>
              <w:top w:val="single" w:color="auto" w:sz="4" w:space="0"/>
              <w:left w:val="single" w:color="auto" w:sz="4" w:space="0"/>
              <w:bottom w:val="single" w:color="auto" w:sz="4" w:space="0"/>
              <w:right w:val="single" w:color="auto" w:sz="4" w:space="0"/>
            </w:tcBorders>
            <w:tcW w:w="8538"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30"/>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014 – FUNDO MUNICIPAL DE SAÚDE </w:t>
            </w:r>
            <w:r/>
          </w:p>
        </w:tc>
      </w:tr>
      <w:tr>
        <w:trPr>
          <w:trHeight w:val="170"/>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10.302.</w:t>
            </w:r>
            <w:r>
              <w:t xml:space="preserve">2203.1037 – EQUIPAR A MEDIA E ALTA COMPLEXIDADE</w:t>
            </w:r>
            <w:r/>
          </w:p>
        </w:tc>
      </w:tr>
      <w:tr>
        <w:trPr>
          <w:trHeight w:val="141"/>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4.4.90.52.00.00 – EQUIPAMENTOS E MATERIAL PERMANENTE</w:t>
            </w:r>
            <w:r/>
          </w:p>
        </w:tc>
      </w:tr>
      <w:tr>
        <w:trPr>
          <w:trHeight w:val="130"/>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b/>
              </w:rPr>
            </w:pPr>
            <w:r>
              <w:rPr>
                <w:b/>
              </w:rPr>
              <w:t xml:space="preserve">568</w:t>
            </w:r>
            <w:r>
              <w:rPr>
                <w:b/>
              </w:rPr>
            </w:r>
          </w:p>
        </w:tc>
      </w:tr>
      <w:tr>
        <w:trPr>
          <w:trHeight w:val="98"/>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1.500.1002000</w:t>
            </w:r>
            <w:r/>
          </w:p>
        </w:tc>
      </w:tr>
    </w:tbl>
    <w:p>
      <w:pPr>
        <w:pStyle w:val="828"/>
        <w:pBdr/>
        <w:spacing/>
        <w:ind/>
        <w:jc w:val="both"/>
        <w:rPr>
          <w:b/>
          <w:u w:val="single"/>
        </w:rPr>
      </w:pPr>
      <w:r>
        <w:rPr>
          <w:b/>
          <w:u w:val="single"/>
        </w:rPr>
      </w:r>
      <w:r>
        <w:rPr>
          <w:b/>
          <w:u w:val="single"/>
        </w:rPr>
      </w:r>
    </w:p>
    <w:p>
      <w:pPr>
        <w:pStyle w:val="828"/>
        <w:pBdr/>
        <w:spacing/>
        <w:ind/>
        <w:jc w:val="center"/>
        <w:rPr>
          <w:b/>
          <w:u w:val="single"/>
        </w:rPr>
      </w:pPr>
      <w:r>
        <w:rPr>
          <w:b/>
          <w:u w:val="single"/>
        </w:rPr>
        <w:t xml:space="preserve">MATERIAL DE CONSUMO</w:t>
      </w:r>
      <w:r>
        <w:rPr>
          <w:b/>
          <w:u w:val="single"/>
        </w:rPr>
      </w:r>
    </w:p>
    <w:p>
      <w:pPr>
        <w:pStyle w:val="828"/>
        <w:pBdr/>
        <w:spacing/>
        <w:ind/>
        <w:jc w:val="center"/>
        <w:rPr>
          <w:b/>
          <w:u w:val="single"/>
        </w:rPr>
      </w:pPr>
      <w:r>
        <w:rPr>
          <w:b/>
          <w:u w:val="single"/>
        </w:rPr>
      </w:r>
      <w:r>
        <w:rPr>
          <w:b/>
          <w:u w:val="single"/>
        </w:rPr>
      </w:r>
    </w:p>
    <w:tbl>
      <w:tblPr>
        <w:tblInd w:w="848" w:type="dxa"/>
        <w:tblW w:w="8512"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37"/>
        <w:gridCol w:w="6675"/>
      </w:tblGrid>
      <w:tr>
        <w:trPr>
          <w:trHeight w:val="152"/>
        </w:trPr>
        <w:tc>
          <w:tcPr>
            <w:gridSpan w:val="2"/>
            <w:tcBorders>
              <w:top w:val="single" w:color="auto" w:sz="4" w:space="0"/>
              <w:left w:val="single" w:color="auto" w:sz="4" w:space="0"/>
              <w:bottom w:val="single" w:color="auto" w:sz="4" w:space="0"/>
              <w:right w:val="single" w:color="auto" w:sz="4" w:space="0"/>
            </w:tcBorders>
            <w:tcW w:w="8512"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52"/>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014 – FUNDO MUNICIPAL DE SAÚDE </w:t>
            </w:r>
            <w:r/>
          </w:p>
        </w:tc>
      </w:tr>
      <w:tr>
        <w:trPr>
          <w:trHeight w:val="170"/>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10.122.2204.2205 - MANUTENÇÃO DAS AÇÕES ADMINISTRATIVAS DO FUNDO MUNICIPAL DE SAÚDE</w:t>
            </w:r>
            <w:r/>
          </w:p>
        </w:tc>
      </w:tr>
      <w:tr>
        <w:trPr>
          <w:trHeight w:val="120"/>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3.3.90.30.00.00 – MATERIAL DE CONSUMO</w:t>
            </w:r>
            <w:r/>
          </w:p>
        </w:tc>
      </w:tr>
      <w:tr>
        <w:trPr>
          <w:trHeight w:val="10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b/>
              </w:rPr>
            </w:pPr>
            <w:r>
              <w:rPr>
                <w:b/>
              </w:rPr>
              <w:t xml:space="preserve">709</w:t>
            </w:r>
            <w:r>
              <w:rPr>
                <w:b/>
              </w:rPr>
            </w:r>
          </w:p>
        </w:tc>
      </w:tr>
      <w:tr>
        <w:trPr>
          <w:trHeight w:val="9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Fonte</w:t>
            </w:r>
            <w:r>
              <w:t xml:space="preserve"> de Recursos:</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1.500.1002000</w:t>
            </w:r>
            <w:r/>
          </w:p>
        </w:tc>
      </w:tr>
    </w:tbl>
    <w:p>
      <w:pPr>
        <w:pStyle w:val="828"/>
        <w:pBdr/>
        <w:spacing/>
        <w:ind/>
        <w:rPr/>
      </w:pPr>
      <w:r/>
      <w:r/>
    </w:p>
    <w:p>
      <w:pPr>
        <w:pStyle w:val="828"/>
        <w:pBdr/>
        <w:spacing/>
        <w:ind/>
        <w:rPr/>
      </w:pPr>
      <w:r/>
      <w:r/>
    </w:p>
    <w:tbl>
      <w:tblPr>
        <w:tblInd w:w="860" w:type="dxa"/>
        <w:tblW w:w="8488"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25"/>
        <w:gridCol w:w="6663"/>
      </w:tblGrid>
      <w:tr>
        <w:trPr>
          <w:trHeight w:val="162"/>
        </w:trPr>
        <w:tc>
          <w:tcPr>
            <w:gridSpan w:val="2"/>
            <w:tcBorders>
              <w:top w:val="single" w:color="auto" w:sz="4" w:space="0"/>
              <w:left w:val="single" w:color="auto" w:sz="4" w:space="0"/>
              <w:bottom w:val="single" w:color="auto" w:sz="4" w:space="0"/>
              <w:right w:val="single" w:color="auto" w:sz="4" w:space="0"/>
            </w:tcBorders>
            <w:tcW w:w="8488"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62"/>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014 – FUNDO MUNICIPAL DE SAÚDE </w:t>
            </w:r>
            <w:r/>
          </w:p>
        </w:tc>
      </w:tr>
      <w:tr>
        <w:trPr>
          <w:trHeight w:val="342"/>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10.301.2202.2180 - MANUTENÇÃO E CONSERVAÇÃO DA ATENÇÃO PRIMÁRIA À SAÚDE - APS E PROGRAMAS ESPECIAIS.</w:t>
            </w:r>
            <w:r/>
          </w:p>
        </w:tc>
      </w:tr>
      <w:tr>
        <w:trPr>
          <w:trHeight w:val="151"/>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3.3.90.30.00.00 – MATERIAL DE CONSUMO</w:t>
            </w:r>
            <w:r/>
          </w:p>
        </w:tc>
      </w:tr>
      <w:tr>
        <w:trPr>
          <w:trHeight w:val="152"/>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b/>
              </w:rPr>
            </w:pPr>
            <w:r>
              <w:rPr>
                <w:b/>
              </w:rPr>
              <w:t xml:space="preserve">673</w:t>
            </w:r>
            <w:r>
              <w:rPr>
                <w:b/>
              </w:rPr>
            </w:r>
          </w:p>
        </w:tc>
      </w:tr>
      <w:tr>
        <w:trPr>
          <w:trHeight w:val="98"/>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1.500.1002000</w:t>
            </w:r>
            <w:r/>
          </w:p>
        </w:tc>
      </w:tr>
    </w:tbl>
    <w:p>
      <w:pPr>
        <w:pStyle w:val="828"/>
        <w:pBdr/>
        <w:spacing/>
        <w:ind/>
        <w:rPr/>
      </w:pPr>
      <w:r/>
      <w:r/>
    </w:p>
    <w:p>
      <w:pPr>
        <w:pStyle w:val="828"/>
        <w:pBdr/>
        <w:spacing/>
        <w:ind/>
        <w:rPr/>
      </w:pPr>
      <w:r/>
      <w:r/>
    </w:p>
    <w:tbl>
      <w:tblPr>
        <w:tblInd w:w="848" w:type="dxa"/>
        <w:tblW w:w="8487"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37"/>
        <w:gridCol w:w="6650"/>
      </w:tblGrid>
      <w:tr>
        <w:trPr>
          <w:trHeight w:val="141"/>
        </w:trPr>
        <w:tc>
          <w:tcPr>
            <w:gridSpan w:val="2"/>
            <w:tcBorders>
              <w:top w:val="single" w:color="auto" w:sz="4" w:space="0"/>
              <w:left w:val="single" w:color="auto" w:sz="4" w:space="0"/>
              <w:bottom w:val="single" w:color="auto" w:sz="4" w:space="0"/>
              <w:right w:val="single" w:color="auto" w:sz="4" w:space="0"/>
            </w:tcBorders>
            <w:tcW w:w="8487"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41"/>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014 – FUNDO MUNICI</w:t>
            </w:r>
            <w:r>
              <w:t xml:space="preserve">PAL DE SAÚDE </w:t>
            </w:r>
            <w:r/>
          </w:p>
        </w:tc>
      </w:tr>
      <w:tr>
        <w:trPr>
          <w:trHeight w:val="342"/>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10.301.2202.2180 - MANUTENÇÃO E CONSERVAÇÃO DA ATENÇÃO PRIMÁRIA À SAÚDE - APS E PROGRAMAS ESPECIAIS.</w:t>
            </w:r>
            <w:r/>
          </w:p>
        </w:tc>
      </w:tr>
      <w:tr>
        <w:trPr>
          <w:trHeight w:val="130"/>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3.3.90.30.00.00 – MATERIAL DE CONSUMO</w:t>
            </w:r>
            <w:r/>
          </w:p>
        </w:tc>
      </w:tr>
      <w:tr>
        <w:trPr>
          <w:trHeight w:val="162"/>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b/>
              </w:rPr>
            </w:pPr>
            <w:r>
              <w:rPr>
                <w:b/>
              </w:rPr>
              <w:t xml:space="preserve">674</w:t>
            </w:r>
            <w:r>
              <w:rPr>
                <w:b/>
              </w:rPr>
            </w:r>
          </w:p>
        </w:tc>
      </w:tr>
      <w:tr>
        <w:trPr>
          <w:trHeight w:val="9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1.600.0000600</w:t>
            </w:r>
            <w:r/>
          </w:p>
        </w:tc>
      </w:tr>
    </w:tbl>
    <w:p>
      <w:pPr>
        <w:pStyle w:val="828"/>
        <w:pBdr/>
        <w:spacing/>
        <w:ind/>
        <w:rPr/>
      </w:pPr>
      <w:r/>
      <w:r/>
    </w:p>
    <w:p>
      <w:pPr>
        <w:pStyle w:val="828"/>
        <w:pBdr/>
        <w:spacing/>
        <w:ind/>
        <w:rPr/>
      </w:pPr>
      <w:r/>
      <w:r/>
    </w:p>
    <w:tbl>
      <w:tblPr>
        <w:tblInd w:w="823" w:type="dxa"/>
        <w:tblW w:w="8512"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75"/>
        <w:gridCol w:w="6637"/>
      </w:tblGrid>
      <w:tr>
        <w:trPr>
          <w:trHeight w:val="162"/>
        </w:trPr>
        <w:tc>
          <w:tcPr>
            <w:gridSpan w:val="2"/>
            <w:tcBorders>
              <w:top w:val="single" w:color="auto" w:sz="4" w:space="0"/>
              <w:left w:val="single" w:color="auto" w:sz="4" w:space="0"/>
              <w:bottom w:val="single" w:color="auto" w:sz="4" w:space="0"/>
              <w:right w:val="single" w:color="auto" w:sz="4" w:space="0"/>
            </w:tcBorders>
            <w:tcW w:w="8512"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62"/>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014 – FUNDO MUNICIPAL DE SAÚDE </w:t>
            </w:r>
            <w:r/>
          </w:p>
        </w:tc>
      </w:tr>
      <w:tr>
        <w:trPr>
          <w:trHeight w:val="90"/>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10.302.2203.2193 - MANUTENÇÃO DOS SERVIÇOS DE MÉDIA E ALTA COMPLEXIDADE</w:t>
            </w:r>
            <w:r/>
          </w:p>
        </w:tc>
      </w:tr>
      <w:tr>
        <w:trPr>
          <w:trHeight w:val="90"/>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3.3.90.30.00.00 –</w:t>
            </w:r>
            <w:r>
              <w:t xml:space="preserve"> MATERIAL DE CONSUMO</w:t>
            </w:r>
            <w:r/>
          </w:p>
        </w:tc>
      </w:tr>
      <w:tr>
        <w:trPr>
          <w:trHeight w:val="90"/>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b/>
              </w:rPr>
            </w:pPr>
            <w:r>
              <w:rPr>
                <w:b/>
              </w:rPr>
              <w:t xml:space="preserve">556</w:t>
            </w:r>
            <w:r>
              <w:rPr>
                <w:b/>
              </w:rPr>
            </w:r>
          </w:p>
        </w:tc>
      </w:tr>
      <w:tr>
        <w:trPr>
          <w:trHeight w:val="98"/>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1.500.1002000</w:t>
            </w:r>
            <w:r/>
          </w:p>
        </w:tc>
      </w:tr>
    </w:tbl>
    <w:p>
      <w:pPr>
        <w:pStyle w:val="828"/>
        <w:pBdr/>
        <w:spacing/>
        <w:ind/>
        <w:jc w:val="both"/>
        <w:rPr/>
      </w:pPr>
      <w:r/>
      <w:r/>
    </w:p>
    <w:p>
      <w:pPr>
        <w:pStyle w:val="828"/>
        <w:pBdr/>
        <w:spacing/>
        <w:ind/>
        <w:jc w:val="both"/>
        <w:rPr/>
      </w:pPr>
      <w:r/>
      <w:r/>
    </w:p>
    <w:p>
      <w:pPr>
        <w:pStyle w:val="828"/>
        <w:pBdr/>
        <w:spacing/>
        <w:ind/>
        <w:jc w:val="both"/>
        <w:rPr/>
      </w:pPr>
      <w:r>
        <w:rPr>
          <w:b/>
          <w:bCs/>
          <w:iCs/>
          <w:lang w:eastAsia="pt-BR"/>
        </w:rPr>
        <w:t xml:space="preserve">15.5. </w:t>
      </w:r>
      <w:r>
        <w:rPr>
          <w:iCs/>
          <w:lang w:eastAsia="pt-BR"/>
        </w:rPr>
        <w:t xml:space="preserve">É possível encontrar o Plano Anual de Contratação no site:</w:t>
      </w:r>
      <w:r/>
    </w:p>
    <w:p>
      <w:pPr>
        <w:pStyle w:val="828"/>
        <w:pBdr/>
        <w:spacing/>
        <w:ind/>
        <w:jc w:val="both"/>
        <w:rPr>
          <w:iCs/>
          <w:lang w:eastAsia="pt-BR"/>
        </w:rPr>
      </w:pPr>
      <w:r>
        <w:rPr>
          <w:rFonts w:ascii="Arial" w:hAnsi="Arial" w:cs="Arial"/>
          <w:lang w:val="pt-PT" w:eastAsia="en-US"/>
        </w:rPr>
        <w:fldChar w:fldCharType="begin"/>
      </w:r>
      <w:r>
        <w:instrText xml:space="preserve"> HYPERLINK "https://transparencia.rondonopolis.mt.gov.br/rondonopolis/publicacoes/23" </w:instrText>
      </w:r>
      <w:r>
        <w:rPr>
          <w:rFonts w:ascii="Arial" w:hAnsi="Arial" w:cs="Arial"/>
          <w:lang w:val="pt-PT" w:eastAsia="en-US"/>
        </w:rPr>
        <w:fldChar w:fldCharType="separate"/>
      </w:r>
      <w:r>
        <w:rPr>
          <w:rStyle w:val="900"/>
          <w:iCs/>
          <w:lang w:eastAsia="pt-BR"/>
        </w:rPr>
        <w:t xml:space="preserve">https://transparencia.rondonopolis.mt.gov.br/rondonopolis/publicacoes/23</w:t>
      </w:r>
      <w:r>
        <w:rPr>
          <w:rStyle w:val="900"/>
          <w:iCs/>
          <w:lang w:eastAsia="pt-BR"/>
        </w:rPr>
        <w:fldChar w:fldCharType="end"/>
      </w:r>
      <w:r>
        <w:rPr>
          <w:iCs/>
          <w:lang w:eastAsia="pt-BR"/>
        </w:rPr>
        <w:t xml:space="preserve"> </w:t>
      </w:r>
      <w:r>
        <w:rPr>
          <w:iCs/>
          <w:lang w:eastAsia="pt-BR"/>
        </w:rPr>
      </w:r>
    </w:p>
    <w:p>
      <w:pPr>
        <w:pStyle w:val="828"/>
        <w:pBdr/>
        <w:spacing/>
        <w:ind/>
        <w:jc w:val="both"/>
        <w:rPr/>
      </w:pPr>
      <w:r/>
      <w:r/>
    </w:p>
    <w:p>
      <w:pPr>
        <w:pStyle w:val="828"/>
        <w:pBdr/>
        <w:shd w:val="clear" w:color="auto" w:fill="cccccc"/>
        <w:spacing/>
        <w:ind/>
        <w:jc w:val="both"/>
        <w:rPr/>
      </w:pPr>
      <w:r>
        <w:rPr>
          <w:b/>
          <w:bCs/>
        </w:rPr>
        <w:t xml:space="preserve">16 – UNIDADE RESPONSÁVEL PELO ACOMPANHAMENTO/ FISCALIZAÇÃO </w:t>
      </w:r>
      <w:r/>
    </w:p>
    <w:p>
      <w:pPr>
        <w:pStyle w:val="828"/>
        <w:pBdr/>
        <w:spacing/>
        <w:ind/>
        <w:jc w:val="both"/>
        <w:rPr/>
      </w:pPr>
      <w:r/>
      <w:r/>
    </w:p>
    <w:p>
      <w:pPr>
        <w:pStyle w:val="828"/>
        <w:pBdr/>
        <w:spacing/>
        <w:ind/>
        <w:jc w:val="both"/>
        <w:rPr/>
      </w:pPr>
      <w:r>
        <w:rPr>
          <w:b/>
          <w:bCs/>
        </w:rPr>
        <w:t xml:space="preserve">16.1. </w:t>
      </w:r>
      <w:r>
        <w:t xml:space="preserve">DEPARTAMENTO/SETOR DE ENGENHARIA</w:t>
      </w:r>
      <w:r>
        <w:rPr>
          <w:b/>
          <w:bCs/>
        </w:rPr>
        <w:t xml:space="preserve">-</w:t>
      </w:r>
      <w:r>
        <w:t xml:space="preserve"> SECRETARIA MUNICIPAL DE SAÚDE.</w:t>
      </w:r>
      <w:r/>
    </w:p>
    <w:p>
      <w:pPr>
        <w:pStyle w:val="828"/>
        <w:pBdr/>
        <w:spacing/>
        <w:ind/>
        <w:jc w:val="both"/>
        <w:rPr/>
      </w:pPr>
      <w:r/>
      <w:r/>
    </w:p>
    <w:p>
      <w:pPr>
        <w:pStyle w:val="828"/>
        <w:pBdr/>
        <w:shd w:val="clear" w:color="auto" w:fill="cccccc"/>
        <w:spacing/>
        <w:ind/>
        <w:jc w:val="both"/>
        <w:rPr/>
      </w:pPr>
      <w:r>
        <w:rPr>
          <w:b/>
          <w:bCs/>
        </w:rPr>
        <w:t xml:space="preserve">17 –INTEGRAM O PRESENTE TERMO O(S) SEGUINTE(S) ANEXO(S):</w:t>
      </w:r>
      <w:r/>
    </w:p>
    <w:p>
      <w:pPr>
        <w:pStyle w:val="828"/>
        <w:pBdr/>
        <w:spacing/>
        <w:ind/>
        <w:jc w:val="both"/>
        <w:rPr/>
      </w:pPr>
      <w:r/>
      <w:r/>
    </w:p>
    <w:p>
      <w:pPr>
        <w:pStyle w:val="828"/>
        <w:pBdr/>
        <w:spacing/>
        <w:ind/>
        <w:jc w:val="both"/>
        <w:rPr/>
      </w:pPr>
      <w:r>
        <w:rPr>
          <w:b/>
          <w:bCs/>
        </w:rPr>
        <w:t xml:space="preserve">17.1. </w:t>
      </w:r>
      <w:r>
        <w:t xml:space="preserve">Cotações.</w:t>
      </w:r>
      <w:r/>
    </w:p>
    <w:p>
      <w:pPr>
        <w:pStyle w:val="828"/>
        <w:pBdr/>
        <w:spacing/>
        <w:ind/>
        <w:jc w:val="both"/>
        <w:rPr/>
      </w:pPr>
      <w:r/>
      <w:r/>
    </w:p>
    <w:p>
      <w:pPr>
        <w:pStyle w:val="828"/>
        <w:pBdr/>
        <w:spacing/>
        <w:ind/>
        <w:jc w:val="right"/>
        <w:rPr/>
      </w:pPr>
      <w:r/>
      <w:r/>
    </w:p>
    <w:p>
      <w:pPr>
        <w:pStyle w:val="828"/>
        <w:pBdr/>
        <w:spacing/>
        <w:ind/>
        <w:jc w:val="right"/>
        <w:rPr/>
      </w:pPr>
      <w:r/>
      <w:r/>
    </w:p>
    <w:p>
      <w:pPr>
        <w:pStyle w:val="828"/>
        <w:pBdr/>
        <w:spacing/>
        <w:ind/>
        <w:rPr>
          <w:b/>
          <w:bCs/>
        </w:rPr>
      </w:pPr>
      <w:r>
        <w:rPr>
          <w:b/>
          <w:bCs/>
        </w:rPr>
        <w:t xml:space="preserve">ELABORADO POR:</w:t>
      </w:r>
      <w:r>
        <w:rPr>
          <w:b/>
          <w:bCs/>
        </w:rPr>
      </w:r>
    </w:p>
    <w:p>
      <w:pPr>
        <w:pStyle w:val="828"/>
        <w:pBdr/>
        <w:spacing/>
        <w:ind/>
        <w:rPr>
          <w:b/>
          <w:bCs/>
        </w:rPr>
      </w:pPr>
      <w:r>
        <w:rPr>
          <w:b/>
          <w:bCs/>
        </w:rPr>
      </w:r>
      <w:r>
        <w:rPr>
          <w:b/>
          <w:bCs/>
        </w:rPr>
      </w:r>
    </w:p>
    <w:p>
      <w:pPr>
        <w:pStyle w:val="828"/>
        <w:pBdr/>
        <w:spacing/>
        <w:ind/>
        <w:jc w:val="center"/>
        <w:rPr>
          <w:b/>
          <w:bCs/>
        </w:rPr>
      </w:pPr>
      <w:r>
        <w:rPr>
          <w:b/>
          <w:bCs/>
        </w:rPr>
        <w:t xml:space="preserve">_______________________________________________</w:t>
      </w:r>
      <w:r>
        <w:rPr>
          <w:b/>
          <w:bCs/>
        </w:rPr>
      </w:r>
    </w:p>
    <w:p>
      <w:pPr>
        <w:pStyle w:val="828"/>
        <w:pBdr/>
        <w:spacing/>
        <w:ind/>
        <w:jc w:val="center"/>
        <w:rPr>
          <w:b/>
          <w:bCs/>
          <w:color w:val="000000"/>
        </w:rPr>
      </w:pPr>
      <w:r>
        <w:rPr>
          <w:b/>
          <w:bCs/>
          <w:color w:val="000000"/>
        </w:rPr>
        <w:t xml:space="preserve">DÉBORA BETÂNIA DE CARVALHO SANTOS </w:t>
      </w:r>
      <w:r>
        <w:rPr>
          <w:b/>
          <w:bCs/>
          <w:color w:val="000000"/>
        </w:rPr>
      </w:r>
    </w:p>
    <w:p>
      <w:pPr>
        <w:pStyle w:val="828"/>
        <w:pBdr/>
        <w:spacing/>
        <w:ind/>
        <w:jc w:val="center"/>
        <w:rPr>
          <w:color w:val="000000"/>
        </w:rPr>
      </w:pPr>
      <w:r>
        <w:rPr>
          <w:color w:val="000000"/>
        </w:rPr>
        <w:t xml:space="preserve">Coordenadora de Departamento de Engenharia e Arquitetura </w:t>
      </w:r>
      <w:r>
        <w:rPr>
          <w:color w:val="000000"/>
        </w:rPr>
      </w:r>
    </w:p>
    <w:p>
      <w:pPr>
        <w:pStyle w:val="828"/>
        <w:pBdr/>
        <w:spacing/>
        <w:ind/>
        <w:jc w:val="center"/>
        <w:rPr>
          <w:b/>
          <w:bCs/>
          <w:color w:val="000000"/>
        </w:rPr>
      </w:pPr>
      <w:r>
        <w:rPr>
          <w:b/>
          <w:bCs/>
          <w:color w:val="000000"/>
        </w:rPr>
        <w:t xml:space="preserve">Portaria Nº 38.086, De 17 De Fevereiro De 2025</w:t>
      </w:r>
      <w:r>
        <w:rPr>
          <w:b/>
          <w:bCs/>
          <w:color w:val="000000"/>
        </w:rPr>
      </w:r>
    </w:p>
    <w:p>
      <w:pPr>
        <w:pStyle w:val="828"/>
        <w:pBdr/>
        <w:spacing/>
        <w:ind/>
        <w:rPr/>
      </w:pPr>
      <w:r/>
      <w:r/>
    </w:p>
    <w:p>
      <w:pPr>
        <w:pStyle w:val="828"/>
        <w:pBdr/>
        <w:spacing/>
        <w:ind/>
        <w:rPr/>
      </w:pPr>
      <w:r/>
      <w:r/>
    </w:p>
    <w:p>
      <w:pPr>
        <w:pStyle w:val="828"/>
        <w:pBdr/>
        <w:spacing/>
        <w:ind/>
        <w:rPr/>
      </w:pPr>
      <w:r/>
      <w:r/>
    </w:p>
    <w:p>
      <w:pPr>
        <w:pStyle w:val="828"/>
        <w:pBdr/>
        <w:spacing/>
        <w:ind/>
        <w:rPr/>
      </w:pPr>
      <w:r/>
      <w:r/>
    </w:p>
    <w:p>
      <w:pPr>
        <w:pStyle w:val="828"/>
        <w:pBdr/>
        <w:spacing/>
        <w:ind/>
        <w:rPr>
          <w:b/>
          <w:bCs/>
        </w:rPr>
      </w:pPr>
      <w:r>
        <w:rPr>
          <w:b/>
          <w:bCs/>
        </w:rPr>
        <w:t xml:space="preserve">APROVADO POR:</w:t>
      </w:r>
      <w:r>
        <w:rPr>
          <w:b/>
          <w:bCs/>
        </w:rPr>
      </w:r>
    </w:p>
    <w:p>
      <w:pPr>
        <w:pStyle w:val="828"/>
        <w:pBdr/>
        <w:spacing/>
        <w:ind/>
        <w:rPr>
          <w:b/>
          <w:bCs/>
        </w:rPr>
      </w:pPr>
      <w:r>
        <w:rPr>
          <w:b/>
          <w:bCs/>
        </w:rPr>
      </w:r>
      <w:r>
        <w:rPr>
          <w:b/>
          <w:bCs/>
        </w:rPr>
      </w:r>
    </w:p>
    <w:p>
      <w:pPr>
        <w:pStyle w:val="828"/>
        <w:pBdr/>
        <w:spacing/>
        <w:ind/>
        <w:jc w:val="center"/>
        <w:rPr/>
      </w:pPr>
      <w:r>
        <w:t xml:space="preserve">______________________________________________</w:t>
      </w:r>
      <w:r/>
    </w:p>
    <w:p>
      <w:pPr>
        <w:pStyle w:val="828"/>
        <w:pBdr/>
        <w:spacing/>
        <w:ind/>
        <w:jc w:val="center"/>
        <w:rPr>
          <w:lang w:val="pt"/>
        </w:rPr>
      </w:pPr>
      <w:r>
        <w:rPr>
          <w:b/>
          <w:lang w:val="pt"/>
        </w:rPr>
        <w:t xml:space="preserve">MYKAELL THIAGO DOS SANTOS VITORINO</w:t>
      </w:r>
      <w:r>
        <w:rPr>
          <w:b/>
        </w:rPr>
        <w:t xml:space="preserve"> </w:t>
      </w:r>
      <w:r>
        <w:rPr>
          <w:b/>
          <w:lang w:val="pt"/>
        </w:rPr>
        <w:t xml:space="preserve">BANDEIRA</w:t>
      </w:r>
      <w:r>
        <w:rPr>
          <w:lang w:val="pt"/>
        </w:rPr>
      </w:r>
      <w:r>
        <w:rPr>
          <w:lang w:val="pt"/>
        </w:rPr>
      </w:r>
    </w:p>
    <w:p>
      <w:pPr>
        <w:pStyle w:val="828"/>
        <w:pBdr/>
        <w:spacing/>
        <w:ind/>
        <w:jc w:val="center"/>
        <w:rPr/>
      </w:pPr>
      <w:r>
        <w:rPr>
          <w:lang w:val="pt"/>
        </w:rPr>
        <w:t xml:space="preserve">Secretário Municipal de Saúde</w:t>
      </w:r>
      <w:r/>
    </w:p>
    <w:p>
      <w:pPr>
        <w:pStyle w:val="828"/>
        <w:pBdr/>
        <w:spacing/>
        <w:ind/>
        <w:jc w:val="center"/>
        <w:rPr/>
      </w:pPr>
      <w:r>
        <w:rPr>
          <w:b/>
          <w:bCs/>
        </w:rPr>
        <w:t xml:space="preserve">Portaria nº 39.130, de 27 de maio de 2025.      </w:t>
      </w:r>
      <w:r/>
    </w:p>
    <w:p>
      <w:pPr>
        <w:pStyle w:val="828"/>
        <w:pBdr/>
        <w:tabs>
          <w:tab w:val="left" w:leader="none" w:pos="3514"/>
        </w:tabs>
        <w:spacing w:line="360" w:lineRule="auto"/>
        <w:ind/>
        <w:jc w:val="both"/>
        <w:rPr>
          <w:rFonts w:ascii="Calibri Light" w:hAnsi="Calibri Light" w:cs="Calibri Light"/>
          <w:b/>
          <w:bCs/>
        </w:rPr>
      </w:pPr>
      <w:r>
        <w:rPr>
          <w:rFonts w:ascii="Calibri Light" w:hAnsi="Calibri Light" w:cs="Calibri Light"/>
          <w:b/>
          <w:bCs/>
        </w:rPr>
      </w:r>
      <w:r>
        <w:rPr>
          <w:rFonts w:ascii="Calibri Light" w:hAnsi="Calibri Light" w:cs="Calibri Light"/>
          <w:b/>
          <w:bCs/>
        </w:rPr>
      </w:r>
    </w:p>
    <w:p>
      <w:pPr>
        <w:pStyle w:val="828"/>
        <w:pBdr/>
        <w:spacing/>
        <w:ind/>
        <w:rPr>
          <w:rFonts w:ascii="Arial" w:hAnsi="Arial" w:cs="Arial"/>
          <w:bCs/>
        </w:rPr>
      </w:pPr>
      <w:r>
        <w:rPr>
          <w:rFonts w:ascii="Arial" w:hAnsi="Arial" w:cs="Arial"/>
          <w:bCs/>
        </w:rPr>
      </w:r>
      <w:r>
        <w:rPr>
          <w:rFonts w:ascii="Arial" w:hAnsi="Arial" w:cs="Arial"/>
          <w:bCs/>
        </w:rPr>
      </w:r>
    </w:p>
    <w:p>
      <w:pPr>
        <w:pStyle w:val="828"/>
        <w:pBdr/>
        <w:spacing/>
        <w:ind/>
        <w:rPr>
          <w:rFonts w:ascii="Arial" w:hAnsi="Arial" w:cs="Arial"/>
          <w:bCs/>
        </w:rPr>
      </w:pPr>
      <w:r>
        <w:rPr>
          <w:rFonts w:ascii="Arial" w:hAnsi="Arial" w:cs="Arial"/>
          <w:bCs/>
        </w:rPr>
      </w:r>
      <w:r>
        <w:rPr>
          <w:rFonts w:ascii="Arial" w:hAnsi="Arial" w:cs="Arial"/>
          <w:bCs/>
        </w:rPr>
      </w:r>
    </w:p>
    <w:p>
      <w:pPr>
        <w:pStyle w:val="828"/>
        <w:pBdr/>
        <w:spacing/>
        <w:ind/>
        <w:rPr>
          <w:rFonts w:ascii="Arial" w:hAnsi="Arial" w:cs="Arial"/>
          <w:bCs/>
        </w:rPr>
      </w:pPr>
      <w:r>
        <w:rPr>
          <w:rFonts w:ascii="Arial" w:hAnsi="Arial" w:cs="Arial"/>
          <w:bCs/>
        </w:rPr>
        <w:br w:type="page" w:clear="all"/>
      </w:r>
      <w:r>
        <w:rPr>
          <w:rFonts w:ascii="Arial" w:hAnsi="Arial" w:cs="Arial"/>
          <w:bCs/>
        </w:rPr>
      </w:r>
      <w:r>
        <w:rPr>
          <w:rFonts w:ascii="Arial" w:hAnsi="Arial" w:cs="Arial"/>
          <w:bCs/>
        </w:rPr>
      </w:r>
    </w:p>
    <w:p>
      <w:pPr>
        <w:pStyle w:val="828"/>
        <w:pBdr/>
        <w:spacing/>
        <w:ind/>
        <w:rPr>
          <w:rFonts w:ascii="Arial" w:hAnsi="Arial" w:cs="Arial"/>
          <w:bCs/>
        </w:rPr>
      </w:pPr>
      <w:r>
        <w:rPr>
          <w:rFonts w:ascii="Arial" w:hAnsi="Arial" w:cs="Arial"/>
          <w:bCs/>
        </w:rPr>
      </w:r>
      <w:r>
        <w:rPr>
          <w:rFonts w:ascii="Arial" w:hAnsi="Arial" w:cs="Arial"/>
          <w:bCs/>
        </w:rPr>
      </w:r>
    </w:p>
    <w:p>
      <w:pPr>
        <w:pStyle w:val="828"/>
        <w:pBdr/>
        <w:spacing/>
        <w:ind/>
        <w:rPr>
          <w:rFonts w:ascii="Arial" w:hAnsi="Arial" w:cs="Arial"/>
          <w:bCs/>
        </w:rPr>
      </w:pPr>
      <w:r>
        <w:rPr>
          <w:rFonts w:ascii="Arial" w:hAnsi="Arial" w:cs="Arial"/>
          <w:bCs/>
        </w:rPr>
      </w:r>
      <w:r>
        <w:rPr>
          <w:rFonts w:ascii="Arial" w:hAnsi="Arial" w:cs="Arial"/>
          <w:bCs/>
        </w:rPr>
      </w:r>
    </w:p>
    <w:p>
      <w:pPr>
        <w:pStyle w:val="828"/>
        <w:pBdr/>
        <w:spacing/>
        <w:ind/>
        <w:rPr>
          <w:rFonts w:ascii="Arial" w:hAnsi="Arial" w:cs="Arial"/>
          <w:bCs/>
        </w:rPr>
      </w:pPr>
      <w:r>
        <w:rPr>
          <w:rFonts w:ascii="Arial" w:hAnsi="Arial" w:cs="Arial"/>
          <w:bCs/>
        </w:rPr>
      </w:r>
      <w:r>
        <w:rPr>
          <w:rFonts w:ascii="Arial" w:hAnsi="Arial" w:cs="Arial"/>
          <w:bCs/>
        </w:rPr>
      </w:r>
    </w:p>
    <w:p>
      <w:pPr>
        <w:pStyle w:val="828"/>
        <w:pBdr/>
        <w:spacing/>
        <w:ind/>
        <w:rPr>
          <w:rFonts w:ascii="Arial" w:hAnsi="Arial" w:cs="Arial"/>
          <w:bCs/>
        </w:rPr>
      </w:pPr>
      <w:r>
        <w:rPr>
          <w:rFonts w:ascii="Arial" w:hAnsi="Arial" w:cs="Arial"/>
          <w:bCs/>
        </w:rPr>
      </w:r>
      <w:r>
        <w:rPr>
          <w:rFonts w:ascii="Arial" w:hAnsi="Arial" w:cs="Arial"/>
          <w:bCs/>
        </w:rPr>
      </w:r>
    </w:p>
    <w:p>
      <w:pPr>
        <w:pStyle w:val="828"/>
        <w:pBdr/>
        <w:spacing/>
        <w:ind/>
        <w:rPr>
          <w:rFonts w:ascii="Arial" w:hAnsi="Arial" w:cs="Arial"/>
          <w:bCs/>
        </w:rPr>
      </w:pPr>
      <w:r>
        <w:rPr>
          <w:rFonts w:ascii="Arial" w:hAnsi="Arial" w:cs="Arial"/>
          <w:bCs/>
        </w:rPr>
      </w:r>
      <w:r>
        <w:rPr>
          <w:rFonts w:ascii="Arial" w:hAnsi="Arial" w:cs="Arial"/>
          <w:bCs/>
        </w:rPr>
      </w:r>
    </w:p>
    <w:p>
      <w:pPr>
        <w:pStyle w:val="829"/>
        <w:numPr>
          <w:ilvl w:val="0"/>
          <w:numId w:val="0"/>
        </w:numPr>
        <w:pBdr/>
        <w:spacing w:after="0" w:before="0"/>
        <w:ind/>
        <w:jc w:val="center"/>
        <w:rPr>
          <w:bCs w:val="0"/>
          <w:sz w:val="20"/>
          <w:szCs w:val="20"/>
          <w:lang w:val="pt-BR"/>
        </w:rPr>
      </w:pPr>
      <w:r>
        <w:rPr>
          <w:bCs w:val="0"/>
          <w:sz w:val="20"/>
          <w:szCs w:val="20"/>
          <w:lang w:val="pt-BR"/>
        </w:rPr>
        <w:t xml:space="preserve">ANEXO II: </w:t>
      </w:r>
      <w:r>
        <w:rPr>
          <w:bCs w:val="0"/>
          <w:sz w:val="20"/>
          <w:szCs w:val="20"/>
          <w:lang w:val="pt-BR"/>
        </w:rPr>
        <w:t xml:space="preserve">MINUTA DA ATA DE REGISTRO DE PREÇO</w:t>
      </w:r>
      <w:r>
        <w:rPr>
          <w:bCs w:val="0"/>
          <w:sz w:val="20"/>
          <w:szCs w:val="20"/>
          <w:lang w:val="pt-BR"/>
        </w:rPr>
      </w:r>
      <w:r>
        <w:rPr>
          <w:bCs w:val="0"/>
          <w:sz w:val="20"/>
          <w:szCs w:val="20"/>
          <w:lang w:val="pt-BR"/>
        </w:rPr>
      </w:r>
    </w:p>
    <w:p>
      <w:pPr>
        <w:pStyle w:val="828"/>
        <w:pBdr/>
        <w:spacing/>
        <w:ind/>
        <w:rPr>
          <w:rFonts w:ascii="Arial" w:hAnsi="Arial" w:cs="Arial"/>
          <w:bCs/>
        </w:rPr>
      </w:pPr>
      <w:r>
        <w:rPr>
          <w:rFonts w:ascii="Arial" w:hAnsi="Arial" w:cs="Arial"/>
          <w:bCs/>
        </w:rPr>
      </w:r>
      <w:r>
        <w:rPr>
          <w:rFonts w:ascii="Arial" w:hAnsi="Arial" w:cs="Arial"/>
          <w:bCs/>
        </w:rPr>
      </w:r>
    </w:p>
    <w:p>
      <w:pPr>
        <w:pStyle w:val="828"/>
        <w:pBdr/>
        <w:spacing/>
        <w:ind/>
        <w:rPr>
          <w:rFonts w:ascii="Arial" w:hAnsi="Arial" w:cs="Arial"/>
          <w:b/>
          <w:bCs/>
          <w:iCs/>
          <w:color w:val="000000"/>
        </w:rPr>
      </w:pPr>
      <w:r>
        <w:rPr>
          <w:rFonts w:ascii="Arial" w:hAnsi="Arial" w:cs="Arial"/>
          <w:b/>
          <w:bCs/>
          <w:iCs/>
          <w:color w:val="000000"/>
        </w:rPr>
        <w:t xml:space="preserve">ATA DE REGISTRO DE PREÇOS Nº. X</w:t>
      </w:r>
      <w:r>
        <w:rPr>
          <w:rFonts w:ascii="Arial" w:hAnsi="Arial" w:cs="Arial"/>
          <w:b/>
          <w:bCs/>
          <w:iCs/>
          <w:color w:val="000000"/>
        </w:rPr>
        <w:t xml:space="preserve">X/2026</w:t>
      </w:r>
      <w:r>
        <w:rPr>
          <w:rFonts w:ascii="Arial" w:hAnsi="Arial" w:cs="Arial"/>
          <w:b/>
          <w:bCs/>
          <w:iCs/>
          <w:color w:val="000000"/>
        </w:rPr>
        <w:t xml:space="preserve">.</w:t>
      </w:r>
      <w:r>
        <w:rPr>
          <w:rFonts w:ascii="Arial" w:hAnsi="Arial" w:cs="Arial"/>
          <w:b/>
          <w:bCs/>
          <w:iCs/>
          <w:color w:val="000000"/>
        </w:rPr>
      </w:r>
    </w:p>
    <w:p>
      <w:pPr>
        <w:pStyle w:val="828"/>
        <w:pBdr/>
        <w:spacing w:line="276" w:lineRule="auto"/>
        <w:ind/>
        <w:rPr>
          <w:rFonts w:ascii="Arial" w:hAnsi="Arial" w:cs="Arial"/>
        </w:rPr>
      </w:pPr>
      <w:r>
        <w:rPr>
          <w:rFonts w:ascii="Arial" w:hAnsi="Arial" w:cs="Arial"/>
          <w:b/>
          <w:bCs/>
          <w:iCs/>
          <w:color w:val="000000"/>
        </w:rPr>
        <w:t xml:space="preserve">P</w:t>
      </w:r>
      <w:r>
        <w:rPr>
          <w:rFonts w:ascii="Arial" w:hAnsi="Arial" w:cs="Arial"/>
          <w:b/>
          <w:bCs/>
          <w:iCs/>
          <w:color w:val="000000"/>
        </w:rPr>
        <w:t xml:space="preserve">REGÃO ELETRÔNICO Nº. </w:t>
      </w:r>
      <w:r>
        <w:rPr>
          <w:rFonts w:ascii="Arial" w:hAnsi="Arial" w:cs="Arial"/>
          <w:b/>
          <w:bCs/>
          <w:iCs/>
          <w:color w:val="000000"/>
        </w:rPr>
        <w:t xml:space="preserve">2</w:t>
      </w:r>
      <w:r>
        <w:rPr>
          <w:rFonts w:ascii="Arial" w:hAnsi="Arial" w:cs="Arial"/>
          <w:b/>
          <w:bCs/>
          <w:iCs/>
          <w:color w:val="000000"/>
        </w:rPr>
        <w:t xml:space="preserve">2</w:t>
      </w:r>
      <w:r>
        <w:rPr>
          <w:rFonts w:ascii="Arial" w:hAnsi="Arial" w:cs="Arial"/>
          <w:b/>
          <w:bCs/>
          <w:iCs/>
          <w:color w:val="000000"/>
        </w:rPr>
        <w:t xml:space="preserve">/2026</w:t>
      </w:r>
      <w:r>
        <w:rPr>
          <w:rFonts w:ascii="Arial" w:hAnsi="Arial" w:cs="Arial"/>
          <w:b/>
          <w:bCs/>
          <w:iCs/>
          <w:color w:val="000000"/>
        </w:rPr>
        <w:t xml:space="preserve">.</w:t>
      </w:r>
      <w:r>
        <w:rPr>
          <w:rFonts w:ascii="Arial" w:hAnsi="Arial" w:cs="Arial"/>
        </w:rPr>
        <w:t xml:space="preserve"> </w:t>
      </w:r>
      <w:r>
        <w:rPr>
          <w:rFonts w:ascii="Arial" w:hAnsi="Arial" w:cs="Arial"/>
          <w:b/>
          <w:bCs/>
          <w:iCs/>
        </w:rPr>
        <w:t xml:space="preserve">PROCESSO DE COMPRA Nº </w:t>
      </w:r>
      <w:r>
        <w:rPr>
          <w:rFonts w:ascii="Arial" w:hAnsi="Arial" w:cs="Arial"/>
          <w:b/>
        </w:rPr>
        <w:t xml:space="preserve">154</w:t>
      </w:r>
      <w:r>
        <w:rPr>
          <w:rFonts w:ascii="Arial" w:hAnsi="Arial" w:cs="Arial"/>
          <w:b/>
        </w:rPr>
        <w:t xml:space="preserve">/2026.</w:t>
      </w:r>
      <w:r>
        <w:rPr>
          <w:rFonts w:ascii="Arial" w:hAnsi="Arial" w:cs="Arial"/>
        </w:rPr>
      </w:r>
      <w:r>
        <w:rPr>
          <w:rFonts w:ascii="Arial" w:hAnsi="Arial" w:cs="Arial"/>
        </w:rPr>
      </w:r>
    </w:p>
    <w:p>
      <w:pPr>
        <w:pStyle w:val="828"/>
        <w:pBdr/>
        <w:spacing/>
        <w:ind/>
        <w:jc w:val="both"/>
        <w:rPr>
          <w:rFonts w:ascii="Arial" w:hAnsi="Arial" w:cs="Arial"/>
          <w:b/>
          <w:bCs/>
          <w:iCs/>
        </w:rPr>
      </w:pPr>
      <w:r>
        <w:rPr>
          <w:rFonts w:ascii="Arial" w:hAnsi="Arial" w:cs="Arial"/>
          <w:b/>
          <w:bCs/>
          <w:iCs/>
        </w:rPr>
      </w:r>
      <w:r>
        <w:rPr>
          <w:rFonts w:ascii="Arial" w:hAnsi="Arial" w:cs="Arial"/>
          <w:b/>
          <w:bCs/>
          <w:iCs/>
        </w:rPr>
      </w:r>
    </w:p>
    <w:p>
      <w:pPr>
        <w:pStyle w:val="828"/>
        <w:pBdr/>
        <w:spacing/>
        <w:ind/>
        <w:jc w:val="both"/>
        <w:rPr>
          <w:rFonts w:ascii="Arial" w:hAnsi="Arial" w:cs="Arial"/>
          <w:b/>
          <w:bCs/>
          <w:iCs/>
        </w:rPr>
      </w:pPr>
      <w:r>
        <w:rPr>
          <w:rFonts w:ascii="Arial" w:hAnsi="Arial" w:cs="Arial"/>
          <w:b/>
          <w:bCs/>
          <w:iCs/>
        </w:rPr>
      </w:r>
      <w:r>
        <w:rPr>
          <w:rFonts w:ascii="Arial" w:hAnsi="Arial" w:cs="Arial"/>
          <w:b/>
          <w:bCs/>
          <w:iCs/>
        </w:rPr>
      </w:r>
    </w:p>
    <w:p>
      <w:pPr>
        <w:pStyle w:val="828"/>
        <w:pBdr/>
        <w:spacing/>
        <w:ind/>
        <w:jc w:val="both"/>
        <w:rPr>
          <w:rFonts w:ascii="Arial" w:hAnsi="Arial" w:cs="Arial"/>
          <w:b/>
          <w:bCs/>
          <w:iCs/>
        </w:rPr>
      </w:pPr>
      <w:r>
        <w:rPr>
          <w:rFonts w:ascii="Arial" w:hAnsi="Arial" w:cs="Arial"/>
          <w:b/>
          <w:bCs/>
          <w:iCs/>
        </w:rPr>
      </w:r>
      <w:r>
        <w:rPr>
          <w:rFonts w:ascii="Arial" w:hAnsi="Arial" w:cs="Arial"/>
          <w:b/>
          <w:bCs/>
          <w:iCs/>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O Município de Rondonópolis-Estado de Mato Grosso,</w:t>
      </w:r>
      <w:r>
        <w:rPr>
          <w:rFonts w:ascii="Arial" w:hAnsi="Arial" w:cs="Arial"/>
        </w:rPr>
        <w:t xml:space="preserve"> pessoa jurídica de direito público, com sede à Avenida Duque de Caxias n.º 1.000, Bairro: Vila Aurora, inscrita no CNPJ/MF. sob nº 03.347.101/0001-21, através da </w:t>
      </w:r>
      <w:r>
        <w:rPr>
          <w:rFonts w:ascii="Arial" w:hAnsi="Arial" w:cs="Arial"/>
          <w:b/>
        </w:rPr>
        <w:t xml:space="preserve">Secretaria Municipal de XXXXXX</w:t>
      </w:r>
      <w:r>
        <w:rPr>
          <w:rFonts w:ascii="Arial" w:hAnsi="Arial" w:cs="Arial"/>
        </w:rPr>
        <w:t xml:space="preserve">, neste ato representada pela </w:t>
      </w:r>
      <w:r>
        <w:rPr>
          <w:rFonts w:ascii="Arial" w:hAnsi="Arial" w:cs="Arial"/>
          <w:b/>
        </w:rPr>
        <w:t xml:space="preserve">Sr.(a) XXXXXXXXX</w:t>
      </w:r>
      <w:r>
        <w:rPr>
          <w:rFonts w:ascii="Arial" w:hAnsi="Arial" w:cs="Arial"/>
        </w:rPr>
        <w:t xml:space="preserve">, doravante denominada simplesmente </w:t>
      </w:r>
      <w:r>
        <w:rPr>
          <w:rFonts w:ascii="Arial" w:hAnsi="Arial" w:cs="Arial"/>
          <w:b/>
        </w:rPr>
        <w:t xml:space="preserve">Órgão Gerenciador</w:t>
      </w:r>
      <w:r>
        <w:rPr>
          <w:rFonts w:ascii="Arial" w:hAnsi="Arial" w:cs="Arial"/>
        </w:rPr>
        <w:t xml:space="preserve">, </w:t>
      </w:r>
      <w:r>
        <w:rPr>
          <w:rFonts w:ascii="Arial" w:hAnsi="Arial" w:cs="Arial"/>
          <w:b/>
        </w:rPr>
        <w:t xml:space="preserve">Resolve registrar os preços</w:t>
      </w:r>
      <w:r>
        <w:rPr>
          <w:rFonts w:ascii="Arial" w:hAnsi="Arial" w:cs="Arial"/>
        </w:rPr>
        <w:t xml:space="preserve"> das empresas abaixo relacionadas, doravante denominadas simplesmente </w:t>
      </w:r>
      <w:r>
        <w:rPr>
          <w:rFonts w:ascii="Arial" w:hAnsi="Arial" w:cs="Arial"/>
          <w:b/>
        </w:rPr>
        <w:t xml:space="preserve">Fornecedores Registrados</w:t>
      </w:r>
      <w:r>
        <w:rPr>
          <w:rFonts w:ascii="Arial" w:hAnsi="Arial" w:cs="Arial"/>
        </w:rPr>
        <w:t xml:space="preserve">, de</w:t>
      </w:r>
      <w:r>
        <w:rPr>
          <w:rFonts w:ascii="Arial" w:hAnsi="Arial" w:cs="Arial"/>
        </w:rPr>
        <w:t xml:space="preserve"> acordo com a classificação por elas alcançadas nos itens abaixo relacionados, tendo em vista que, atenderam todas as condições previstas no edital e seus anexos</w:t>
      </w:r>
      <w:r>
        <w:rPr>
          <w:rFonts w:ascii="Arial" w:hAnsi="Arial" w:cs="Arial"/>
          <w:b/>
        </w:rPr>
        <w:t xml:space="preserve">, </w:t>
      </w:r>
      <w:r>
        <w:rPr>
          <w:rFonts w:ascii="Arial" w:hAnsi="Arial" w:cs="Arial"/>
        </w:rPr>
        <w:t xml:space="preserve">com fundamento na Lei nº 14.133/2021, Decreto Municipal n.º 11.685, de 18 de setembro de 2023, Lei Complementar n.º 123/2006 e demais legislações correlatadas, resolvem celebrar o presente instrumento, mediante as cláusulas e condições a seguir:</w:t>
      </w:r>
      <w:r>
        <w:rPr>
          <w:rFonts w:ascii="Arial" w:hAnsi="Arial" w:cs="Arial"/>
        </w:rPr>
      </w:r>
    </w:p>
    <w:p>
      <w:pPr>
        <w:pStyle w:val="828"/>
        <w:pBdr/>
        <w:spacing w:line="276" w:lineRule="auto"/>
        <w:ind/>
        <w:jc w:val="both"/>
        <w:rPr>
          <w:rFonts w:ascii="Arial" w:hAnsi="Arial" w:cs="Arial"/>
        </w:rPr>
      </w:pPr>
      <w:r>
        <w:rPr>
          <w:rFonts w:ascii="Arial" w:hAnsi="Arial" w:cs="Arial"/>
        </w:rPr>
      </w:r>
      <w:r>
        <w:rPr>
          <w:rFonts w:ascii="Arial" w:hAnsi="Arial" w:cs="Arial"/>
        </w:rPr>
      </w:r>
    </w:p>
    <w:p>
      <w:pPr>
        <w:pStyle w:val="828"/>
        <w:widowControl w:val="false"/>
        <w:pBdr/>
        <w:tabs>
          <w:tab w:val="center" w:leader="none" w:pos="4779"/>
          <w:tab w:val="right" w:leader="none" w:pos="9198"/>
        </w:tabs>
        <w:spacing/>
        <w:ind w:right="-28"/>
        <w:jc w:val="both"/>
        <w:rPr>
          <w:rFonts w:ascii="Arial" w:hAnsi="Arial" w:cs="Arial"/>
        </w:rPr>
      </w:pPr>
      <w:r>
        <w:rPr>
          <w:rFonts w:ascii="Arial" w:hAnsi="Arial" w:cs="Arial"/>
          <w:b/>
          <w:bCs/>
        </w:rPr>
        <w:t xml:space="preserve">1. DO OBJETO:</w:t>
      </w:r>
      <w:r>
        <w:rPr>
          <w:rFonts w:ascii="Arial" w:hAnsi="Arial" w:cs="Arial"/>
        </w:rPr>
      </w:r>
      <w:r>
        <w:rPr>
          <w:rFonts w:ascii="Arial" w:hAnsi="Arial" w:cs="Arial"/>
        </w:rPr>
      </w:r>
    </w:p>
    <w:p>
      <w:pPr>
        <w:pStyle w:val="828"/>
        <w:widowControl w:val="false"/>
        <w:pBdr/>
        <w:tabs>
          <w:tab w:val="center" w:leader="none" w:pos="4779"/>
          <w:tab w:val="right" w:leader="none" w:pos="9198"/>
        </w:tabs>
        <w:spacing/>
        <w:ind w:right="-28"/>
        <w:jc w:val="both"/>
        <w:rPr>
          <w:rFonts w:ascii="Arial" w:hAnsi="Arial" w:cs="Arial"/>
          <w:b/>
          <w:bCs/>
        </w:rPr>
      </w:pPr>
      <w:r>
        <w:rPr>
          <w:rFonts w:ascii="Arial" w:hAnsi="Arial" w:cs="Arial"/>
          <w:b/>
          <w:bCs/>
        </w:rPr>
      </w:r>
      <w:r>
        <w:rPr>
          <w:rFonts w:ascii="Arial" w:hAnsi="Arial" w:cs="Arial"/>
          <w:b/>
          <w:bCs/>
        </w:rPr>
      </w:r>
    </w:p>
    <w:p>
      <w:pPr>
        <w:pStyle w:val="828"/>
        <w:pBdr/>
        <w:spacing/>
        <w:ind/>
        <w:jc w:val="both"/>
        <w:rPr>
          <w:rFonts w:ascii="Arial" w:hAnsi="Arial" w:cs="Arial"/>
        </w:rPr>
      </w:pPr>
      <w:r>
        <w:rPr>
          <w:rFonts w:ascii="Arial" w:hAnsi="Arial" w:cs="Arial"/>
          <w:b/>
        </w:rPr>
        <w:t xml:space="preserve">1.1.</w:t>
      </w:r>
      <w:r>
        <w:rPr>
          <w:rFonts w:ascii="Arial" w:hAnsi="Arial" w:cs="Arial"/>
        </w:rPr>
        <w:t xml:space="preserve"> A presente Ata tem por objeto o </w:t>
      </w:r>
      <w:r>
        <w:rPr>
          <w:rFonts w:ascii="Arial" w:hAnsi="Arial" w:cs="Arial"/>
          <w:b/>
          <w:color w:val="000000"/>
        </w:rPr>
        <w:t xml:space="preserve">REGISTRO DE PREÇO PARA FUTURA E EVENTUAL AQUISIÇÃO</w:t>
      </w:r>
      <w:r>
        <w:rPr>
          <w:rFonts w:ascii="Arial" w:hAnsi="Arial" w:cs="Arial"/>
          <w:b/>
          <w:color w:val="000000"/>
        </w:rPr>
        <w:t xml:space="preserve"> DE EQUIPAMENTOS, FERRAMENTAS E MATERIAIS DIVERSOS PARA MARCENARIA, destinados à estruturação e ao funcionamento da marcenaria da Secretaria Municipal de Saúde, vinculada ao Setor de Engenharia, para atender às atividades d</w:t>
      </w:r>
      <w:r>
        <w:rPr>
          <w:rFonts w:ascii="Arial" w:hAnsi="Arial" w:cs="Arial"/>
          <w:b/>
          <w:color w:val="000000"/>
        </w:rPr>
        <w:t xml:space="preserve">e fabricação, montagem, manutenção, adaptação e reparo de móveis planejados e demais estruturas em madeira nas unidades da rede municipal de saúde, conforme condições, especificações, quantidades e exigências estabelecidas neste edital e todos seus anexos.</w:t>
      </w:r>
      <w:r>
        <w:rPr>
          <w:rFonts w:ascii="Arial" w:hAnsi="Arial" w:cs="Arial"/>
        </w:rPr>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CLÁUSULA SEGUNDA – </w:t>
      </w:r>
      <w:r>
        <w:rPr>
          <w:rFonts w:ascii="Arial" w:hAnsi="Arial" w:cs="Arial"/>
          <w:b/>
        </w:rPr>
        <w:t xml:space="preserve">DA VIGÊNCIA </w:t>
      </w:r>
      <w:r>
        <w:rPr>
          <w:rFonts w:ascii="Arial" w:hAnsi="Arial" w:cs="Arial"/>
          <w:b/>
        </w:rPr>
        <w:t xml:space="preserve">da ARP</w:t>
      </w:r>
      <w:r>
        <w:rPr>
          <w:rFonts w:ascii="Arial" w:hAnsi="Arial" w:cs="Arial"/>
          <w:b/>
        </w:rPr>
        <w:t xml:space="preserve">:</w:t>
      </w:r>
      <w:r>
        <w:rPr>
          <w:rFonts w:ascii="Arial" w:hAnsi="Arial" w:cs="Arial"/>
        </w:rPr>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olor w:val="000000"/>
        </w:rPr>
      </w:pPr>
      <w:r>
        <w:rPr>
          <w:rFonts w:ascii="Arial" w:hAnsi="Arial"/>
          <w:b/>
          <w:bCs/>
          <w:color w:val="000000"/>
        </w:rPr>
        <w:t xml:space="preserve">2.1. </w:t>
      </w:r>
      <w:r>
        <w:rPr>
          <w:rFonts w:ascii="Arial" w:hAnsi="Arial"/>
          <w:color w:val="000000"/>
        </w:rPr>
        <w:t xml:space="preserve">Em conformidade com o disposto no Decreto Municipal nº 11.685/2023, especialmente após a alteração promovida pelo art. 1º, que conferiu nova redação ao art. 303 do Decreto Municipal n.º 11.685, a vigência da Ata de Registro de Preços será de 01 (um) ano, p</w:t>
      </w:r>
      <w:r>
        <w:rPr>
          <w:rFonts w:ascii="Arial" w:hAnsi="Arial"/>
          <w:color w:val="000000"/>
        </w:rPr>
        <w:t xml:space="preserve">odendo ser prorrogada por igual período, desde que comprovada a vantajosidade dos preços registrados para a Administração. Ainda, nos termos do §2º-A do referido artigo, havendo prorrogação da vigência da Ata, fica autorizada a renovação do quantitativo or</w:t>
      </w:r>
      <w:r>
        <w:rPr>
          <w:rFonts w:ascii="Arial" w:hAnsi="Arial"/>
          <w:color w:val="000000"/>
        </w:rPr>
        <w:t xml:space="preserve">iginalmente registrado, mediante comprovação de que os preços permanecem vantajosos e desde que haja anuência expressa do fornecedor detentor do registro.</w:t>
      </w:r>
      <w:r>
        <w:rPr>
          <w:rFonts w:ascii="Arial" w:hAnsi="Arial"/>
          <w:color w:val="000000"/>
        </w:rPr>
      </w:r>
      <w:r>
        <w:rPr>
          <w:rFonts w:ascii="Arial" w:hAnsi="Arial"/>
          <w:color w:val="000000"/>
        </w:rPr>
      </w:r>
    </w:p>
    <w:p>
      <w:pPr>
        <w:pStyle w:val="828"/>
        <w:pBdr/>
        <w:spacing/>
        <w:ind/>
        <w:jc w:val="both"/>
        <w:rPr>
          <w:rFonts w:ascii="Arial" w:hAnsi="Arial"/>
          <w:color w:val="000000"/>
        </w:rPr>
      </w:pPr>
      <w:r>
        <w:rPr>
          <w:rFonts w:ascii="Arial" w:hAnsi="Arial"/>
          <w:color w:val="000000"/>
        </w:rPr>
      </w:r>
      <w:r>
        <w:rPr>
          <w:rFonts w:ascii="Arial" w:hAnsi="Arial"/>
          <w:color w:val="000000"/>
        </w:rPr>
      </w:r>
    </w:p>
    <w:p>
      <w:pPr>
        <w:pStyle w:val="828"/>
        <w:pBdr/>
        <w:spacing/>
        <w:ind/>
        <w:jc w:val="both"/>
        <w:rPr>
          <w:color w:val="000000"/>
        </w:rPr>
      </w:pPr>
      <w:r>
        <w:rPr>
          <w:rFonts w:ascii="Arial" w:hAnsi="Arial"/>
          <w:b/>
          <w:color w:val="000000"/>
        </w:rPr>
        <w:t xml:space="preserve">2.2.</w:t>
      </w:r>
      <w:r>
        <w:rPr>
          <w:rFonts w:ascii="Arial" w:hAnsi="Arial"/>
          <w:color w:val="000000"/>
        </w:rPr>
        <w:t xml:space="preserve">  O contrato decorrente da presente ata terá a vigência, modelo de gestão e demais aspectos alusivos à contratos estipulados, conforme Edital e todos seus anexos. </w:t>
      </w:r>
      <w:r>
        <w:rPr>
          <w:color w:val="000000"/>
        </w:rPr>
      </w:r>
      <w:r>
        <w:rPr>
          <w:color w:val="000000"/>
        </w:rPr>
      </w:r>
    </w:p>
    <w:p>
      <w:pPr>
        <w:pStyle w:val="828"/>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CLÁUSULA TERCEIRA – DO PREÇO REGISTRADO E DA DIFERENÇA PERCENTUAL:</w:t>
      </w:r>
      <w:r>
        <w:rPr>
          <w:rFonts w:ascii="Arial" w:hAnsi="Arial" w:cs="Arial"/>
        </w:rPr>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3.1.</w:t>
      </w:r>
      <w:r>
        <w:rPr>
          <w:rFonts w:ascii="Arial" w:hAnsi="Arial" w:cs="Arial"/>
        </w:rPr>
        <w:t xml:space="preserve"> O(s) preço(s), a(s) marca(s), a(s) quantidade(s) e a(s) especificação(ões) do(s) produto(s) a ser(em) fornecido(s) encontram-se indicados no (Anexo II </w:t>
      </w:r>
      <w:r>
        <w:rPr>
          <w:rFonts w:ascii="Arial" w:hAnsi="Arial" w:cs="Arial"/>
          <w:color w:val="231f20"/>
        </w:rPr>
        <w:t xml:space="preserve">Informações sobre os produtos registrados)</w:t>
      </w:r>
      <w:r>
        <w:rPr>
          <w:rFonts w:ascii="Arial" w:hAnsi="Arial" w:cs="Arial"/>
        </w:rPr>
        <w:t xml:space="preserve"> desta ARP.</w:t>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rPr>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3.2.</w:t>
      </w:r>
      <w:r>
        <w:rPr>
          <w:rFonts w:ascii="Arial" w:hAnsi="Arial" w:cs="Arial"/>
        </w:rPr>
        <w:t xml:space="preserve"> A(s) dif</w:t>
      </w:r>
      <w:r>
        <w:rPr>
          <w:rFonts w:ascii="Arial" w:hAnsi="Arial" w:cs="Arial"/>
        </w:rPr>
        <w:t xml:space="preserve">erença(s) percentual(is) entre o(s) valor(es) unitário(s) registrado(s) e o(s) valor(es) pesquisado(s) de cada produto, a(s) qual(is) deve(m), preferencialmente, ser(em) mantida(s) durante a vigência desta Ata, também está(ão) especificada(s) no (Anexo II </w:t>
      </w:r>
      <w:r>
        <w:rPr>
          <w:rFonts w:ascii="Arial" w:hAnsi="Arial" w:cs="Arial"/>
          <w:color w:val="231f20"/>
        </w:rPr>
        <w:t xml:space="preserve">Informações sobre os produtos re</w:t>
      </w:r>
      <w:r>
        <w:rPr>
          <w:rFonts w:ascii="Arial" w:hAnsi="Arial" w:cs="Arial"/>
          <w:color w:val="231f20"/>
        </w:rPr>
        <w:t xml:space="preserve">gistrados) </w:t>
      </w:r>
      <w:r>
        <w:rPr>
          <w:rFonts w:ascii="Arial" w:hAnsi="Arial" w:cs="Arial"/>
        </w:rPr>
        <w:t xml:space="preserve">desta ARP.</w:t>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rPr>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CLÁUSULA QUARTA – DO VALOR:</w:t>
      </w:r>
      <w:r>
        <w:rPr>
          <w:rFonts w:ascii="Arial" w:hAnsi="Arial" w:cs="Arial"/>
        </w:rPr>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4.1.</w:t>
      </w:r>
      <w:r>
        <w:rPr>
          <w:rFonts w:ascii="Arial" w:hAnsi="Arial" w:cs="Arial"/>
        </w:rPr>
        <w:t xml:space="preserve"> O valor total estimado para as aquisições decorrentes da presente ARP perfaz o montante de R$ XXXXXXXXXX.</w:t>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CLÁUSULA QUINTA:</w:t>
      </w:r>
      <w:r>
        <w:rPr>
          <w:rFonts w:ascii="Arial" w:hAnsi="Arial" w:cs="Arial"/>
        </w:rPr>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pPr>
        <w:pStyle w:val="828"/>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t xml:space="preserve">5.1. DO(S) ÓRGÃO(S) PARTICIPANTE(S): </w:t>
      </w:r>
      <w:r>
        <w:rPr>
          <w:rFonts w:ascii="Arial" w:hAnsi="Arial" w:cs="Arial"/>
          <w:b/>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rPr>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5.1.1. </w:t>
      </w:r>
      <w:r>
        <w:rPr>
          <w:rFonts w:ascii="Arial" w:hAnsi="Arial" w:cs="Arial"/>
        </w:rPr>
        <w:t xml:space="preserve">A presente ARP é para suprir demandas</w:t>
      </w:r>
      <w:r>
        <w:rPr>
          <w:rFonts w:ascii="Arial" w:hAnsi="Arial" w:cs="Arial"/>
        </w:rPr>
        <w:t xml:space="preserve"> dos órgãos e entidades municipais</w:t>
      </w:r>
      <w:r>
        <w:rPr>
          <w:rFonts w:ascii="Arial" w:hAnsi="Arial" w:cs="Arial"/>
        </w:rPr>
        <w:t xml:space="preserve">, abaixo citados:</w:t>
      </w:r>
      <w:r>
        <w:rPr>
          <w:rFonts w:ascii="Arial" w:hAnsi="Arial" w:cs="Arial"/>
        </w:rPr>
      </w:r>
    </w:p>
    <w:p>
      <w:pPr>
        <w:pStyle w:val="828"/>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rPr>
      </w:r>
      <w:r>
        <w:rPr>
          <w:rFonts w:ascii="Arial" w:hAnsi="Arial" w:cs="Arial"/>
        </w:rPr>
      </w:r>
    </w:p>
    <w:tbl>
      <w:tblPr>
        <w:tblInd w:w="100" w:type="dxa"/>
        <w:tblW w:w="0" w:type="auto"/>
        <w:tblCellMar>
          <w:left w:w="15" w:type="dxa"/>
          <w:top w:w="15" w:type="dxa"/>
          <w:right w:w="15" w:type="dxa"/>
          <w:bottom w:w="15" w:type="dxa"/>
        </w:tblCellMar>
        <w:tblBorders/>
        <w:tblLayout w:type="autofit"/>
        <w:tblLook w:val="04A0" w:firstRow="1" w:lastRow="0" w:firstColumn="1" w:lastColumn="0" w:noHBand="0" w:noVBand="1"/>
      </w:tblPr>
      <w:tblGrid>
        <w:gridCol w:w="10165"/>
      </w:tblGrid>
      <w:tr>
        <w:trPr>
          <w:trHeight w:val="38"/>
        </w:trPr>
        <w:tc>
          <w:tcPr>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0165" w:type="dxa"/>
            <w:vAlign w:val="top"/>
            <w:textDirection w:val="lrTb"/>
            <w:noWrap w:val="false"/>
          </w:tcPr>
          <w:p>
            <w:pPr>
              <w:pStyle w:val="828"/>
              <w:pBdr/>
              <w:spacing/>
              <w:ind/>
              <w:contextualSpacing w:val="true"/>
              <w:jc w:val="center"/>
              <w:rPr>
                <w:rFonts w:ascii="Arial" w:hAnsi="Arial" w:cs="Arial"/>
                <w:lang w:eastAsia="pt-BR"/>
              </w:rPr>
            </w:pPr>
            <w:r>
              <w:rPr>
                <w:rFonts w:ascii="Arial" w:hAnsi="Arial" w:cs="Arial"/>
                <w:b/>
                <w:bCs/>
                <w:color w:val="000000"/>
                <w:lang w:eastAsia="pt-BR"/>
              </w:rPr>
              <w:t xml:space="preserve">SECRETARIA REQUISITANTE</w:t>
            </w:r>
            <w:r>
              <w:rPr>
                <w:rFonts w:ascii="Arial" w:hAnsi="Arial" w:cs="Arial"/>
                <w:lang w:eastAsia="pt-BR"/>
              </w:rPr>
            </w:r>
            <w:r>
              <w:rPr>
                <w:rFonts w:ascii="Arial" w:hAnsi="Arial" w:cs="Arial"/>
                <w:lang w:eastAsia="pt-BR"/>
              </w:rPr>
            </w:r>
          </w:p>
        </w:tc>
      </w:tr>
      <w:tr>
        <w:trPr/>
        <w:tc>
          <w:tcPr>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0165" w:type="dxa"/>
            <w:vAlign w:val="top"/>
            <w:textDirection w:val="lrTb"/>
            <w:noWrap w:val="false"/>
          </w:tcPr>
          <w:p>
            <w:pPr>
              <w:pStyle w:val="828"/>
              <w:pBdr/>
              <w:spacing/>
              <w:ind/>
              <w:contextualSpacing w:val="true"/>
              <w:rPr>
                <w:rFonts w:ascii="Arial" w:hAnsi="Arial" w:cs="Arial"/>
                <w:b/>
                <w:lang w:eastAsia="pt-BR"/>
              </w:rPr>
            </w:pPr>
            <w:r>
              <w:rPr>
                <w:rFonts w:ascii="Arial" w:hAnsi="Arial" w:cs="Arial"/>
                <w:b/>
                <w:color w:val="000000"/>
                <w:lang w:eastAsia="pt-BR"/>
              </w:rPr>
              <w:t xml:space="preserve">SECRETARIA MUNICIPAL </w:t>
            </w:r>
            <w:r>
              <w:rPr>
                <w:rFonts w:ascii="Arial" w:hAnsi="Arial" w:cs="Arial"/>
                <w:b/>
                <w:color w:val="000000"/>
                <w:lang w:eastAsia="pt-BR"/>
              </w:rPr>
              <w:t xml:space="preserve">DE </w:t>
            </w:r>
            <w:r>
              <w:rPr>
                <w:rFonts w:ascii="Arial" w:hAnsi="Arial" w:cs="Arial"/>
                <w:b/>
                <w:color w:val="000000"/>
                <w:lang w:eastAsia="pt-BR"/>
              </w:rPr>
              <w:t xml:space="preserve">SAÚDE</w:t>
            </w:r>
            <w:r>
              <w:rPr>
                <w:rFonts w:ascii="Arial" w:hAnsi="Arial" w:cs="Arial"/>
                <w:b/>
                <w:lang w:eastAsia="pt-BR"/>
              </w:rPr>
            </w:r>
            <w:r>
              <w:rPr>
                <w:rFonts w:ascii="Arial" w:hAnsi="Arial" w:cs="Arial"/>
                <w:b/>
                <w:lang w:eastAsia="pt-BR"/>
              </w:rPr>
            </w:r>
          </w:p>
        </w:tc>
      </w:tr>
    </w:tbl>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5.2. DA(S) DOTAÇÃO(ÕES) ORÇAMENTÁRIA(S):</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5.2.1. </w:t>
      </w:r>
      <w:r>
        <w:rPr>
          <w:rFonts w:ascii="Arial" w:hAnsi="Arial" w:cs="Arial"/>
          <w:color w:val="231f20"/>
        </w:rPr>
        <w:t xml:space="preserve">Na licitação para registro de preços não é necessário indicar a dotação orçamentária ou qualquer outra inform</w:t>
      </w:r>
      <w:r>
        <w:rPr>
          <w:rFonts w:ascii="Arial" w:hAnsi="Arial" w:cs="Arial"/>
          <w:color w:val="231f20"/>
        </w:rPr>
        <w:t xml:space="preserve">ação da origem dos recursos orçamentários, que somente serão exigidas para a formalização do contrato ou outro instrumento hábil. (Art. 299, §2º do </w:t>
      </w:r>
      <w:r>
        <w:rPr>
          <w:rFonts w:ascii="Arial" w:hAnsi="Arial" w:cs="Arial"/>
        </w:rPr>
        <w:t xml:space="preserve">Decreto Municipal 11.685/2023)</w:t>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SEXTA – DO SISTEMA DO REGISTRO DE PREÇOS:</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6.1.</w:t>
      </w:r>
      <w:r>
        <w:rPr>
          <w:rFonts w:ascii="Arial" w:hAnsi="Arial" w:cs="Arial"/>
          <w:color w:val="231f20"/>
        </w:rPr>
        <w:t xml:space="preserve"> O Sistema de Registro de Preços regula-se pelas normas e procedimentos previstos na Lei Federal nº 14.133/21, no Decreto Municipal n° 11.685/2023 e nas demais normas complementares.</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6.2.</w:t>
      </w:r>
      <w:r>
        <w:rPr>
          <w:rFonts w:ascii="Arial" w:hAnsi="Arial" w:cs="Arial"/>
          <w:color w:val="231f20"/>
        </w:rPr>
        <w:t xml:space="preserve"> Uma vez registrados o(s) preço(s), a Administração poderá convocar o Detentor a fornec</w:t>
      </w:r>
      <w:r>
        <w:rPr>
          <w:rFonts w:ascii="Arial" w:hAnsi="Arial" w:cs="Arial"/>
          <w:color w:val="231f20"/>
        </w:rPr>
        <w:t xml:space="preserve">er o(s) produto(s) respectivo(s), na forma e condições fixadas no edital, anexos e nesta ARP.</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6.3.</w:t>
      </w:r>
      <w:r>
        <w:rPr>
          <w:rFonts w:ascii="Arial" w:hAnsi="Arial" w:cs="Arial"/>
          <w:color w:val="231f20"/>
        </w:rPr>
        <w:t xml:space="preserve"> A existência de preço(s) registrado</w:t>
      </w:r>
      <w:r>
        <w:rPr>
          <w:rFonts w:ascii="Arial" w:hAnsi="Arial" w:cs="Arial"/>
          <w:color w:val="231f20"/>
        </w:rPr>
        <w:t xml:space="preserve">(s) implicará compromisso de fornecimento nas condições estabelecidas no instrumento convocatório e na sua proposta, mas não obrigará a contratação, facultada a realização de licitação específica para a aquisição pretendida, desde que devidamente motivada.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6.4.</w:t>
      </w:r>
      <w:r>
        <w:rPr>
          <w:rFonts w:ascii="Arial" w:hAnsi="Arial" w:cs="Arial"/>
          <w:color w:val="231f20"/>
        </w:rPr>
        <w:t xml:space="preserve"> É vedada a aquisição do(s) produto(s) por valor(es) superior(es) ao(s) registrado(s) vigente(s).</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6.5.</w:t>
      </w:r>
      <w:r>
        <w:rPr>
          <w:rFonts w:ascii="Arial" w:hAnsi="Arial" w:cs="Arial"/>
          <w:color w:val="231f20"/>
        </w:rPr>
        <w:t xml:space="preserve"> O Detentor </w:t>
      </w:r>
      <w:r>
        <w:rPr>
          <w:rFonts w:ascii="Arial" w:hAnsi="Arial" w:cs="Arial"/>
          <w:color w:val="231f20"/>
        </w:rPr>
        <w:t xml:space="preserve">fica obrigado a atender a todos os pedidos de fornecimento efetuados durante a vigência do Registro de Preços.</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6.6</w:t>
      </w:r>
      <w:r>
        <w:rPr>
          <w:rFonts w:ascii="Arial" w:hAnsi="Arial" w:cs="Arial"/>
          <w:color w:val="231f20"/>
        </w:rPr>
        <w:t xml:space="preserve">. O Detentor deverá garantir a qualidade do(s) produto(s) entregue(s) mesmo após o vencimento da ARP.</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SÉTIMA – DA EXECUÇÃO DA ATA:</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7.1.</w:t>
      </w:r>
      <w:r>
        <w:rPr>
          <w:rFonts w:ascii="Arial" w:hAnsi="Arial" w:cs="Arial"/>
          <w:color w:val="231f20"/>
        </w:rPr>
        <w:t xml:space="preserve"> A contratação do objeto licitado será efetivada mediante formalização de contrato, vinculado à presente Ata de Registro de Preços e em conformidade com a legislação pertinente, bem como Decreto Municipal nº 11.685/2023.</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7.2.</w:t>
      </w:r>
      <w:r>
        <w:rPr>
          <w:rFonts w:ascii="Arial" w:hAnsi="Arial" w:cs="Arial"/>
          <w:color w:val="231f20"/>
        </w:rPr>
        <w:t xml:space="preserve"> Após autorização, a Ger</w:t>
      </w:r>
      <w:r>
        <w:rPr>
          <w:rFonts w:ascii="Arial" w:hAnsi="Arial" w:cs="Arial"/>
          <w:color w:val="231f20"/>
        </w:rPr>
        <w:t xml:space="preserve">ência ................. ou equivalente de cada um dos Órgãos Participantes do Registro encaminhará Nota de Empenho ou outro instrumento equivalente ao Detentor da ARP, via e-mail ou outro meio de comunicação eficaz.</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7.2.1.</w:t>
      </w:r>
      <w:r>
        <w:rPr>
          <w:rFonts w:ascii="Arial" w:hAnsi="Arial" w:cs="Arial"/>
          <w:color w:val="231f20"/>
        </w:rPr>
        <w:t xml:space="preserve"> A comprovação de que o Detentor recebeu a Nota de Empenho ou outro instrumento equivalente deverá ocorrer via e-mail ou outro meio de comunicação eficaz.</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7.3.</w:t>
      </w:r>
      <w:r>
        <w:rPr>
          <w:rFonts w:ascii="Arial" w:hAnsi="Arial" w:cs="Arial"/>
          <w:color w:val="231f20"/>
        </w:rPr>
        <w:t xml:space="preserve"> Na hipótese de as Gerências não conseguirem um meio eficaz para envio da Nota de Empenho ou outro instrumento equivalente ao Det</w:t>
      </w:r>
      <w:r>
        <w:rPr>
          <w:rFonts w:ascii="Arial" w:hAnsi="Arial" w:cs="Arial"/>
          <w:color w:val="231f20"/>
        </w:rPr>
        <w:t xml:space="preserve">entor, deverá ser publicado um aviso no Diário Oficial do Município - DIORONDON, para que o Detentor retire a Nota de Empenho ou outro instrumento hábil no prazo máximo de 03 (três) dias úteis contados da convocação.</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color w:val="231f20"/>
        </w:rPr>
      </w:pPr>
      <w:r>
        <w:rPr>
          <w:rFonts w:ascii="Arial" w:hAnsi="Arial" w:cs="Arial"/>
          <w:b/>
          <w:color w:val="231f20"/>
        </w:rPr>
        <w:t xml:space="preserve">7.4.</w:t>
      </w:r>
      <w:r>
        <w:rPr>
          <w:rFonts w:ascii="Arial" w:hAnsi="Arial" w:cs="Arial"/>
          <w:color w:val="231f20"/>
        </w:rPr>
        <w:t xml:space="preserve"> A critério da Gerência solicitant</w:t>
      </w:r>
      <w:r>
        <w:rPr>
          <w:rFonts w:ascii="Arial" w:hAnsi="Arial" w:cs="Arial"/>
          <w:color w:val="231f20"/>
        </w:rPr>
        <w:t xml:space="preserve">e, quando se fizer necessária a verificação da qualidade e do atendimento às legislações específicas pertinentes, a Administração determinará as análises necessárias e prazos para a entrega do(s) produto(s), com ônus para o Detentor, ficando suspenso o pag</w:t>
      </w:r>
      <w:r>
        <w:rPr>
          <w:rFonts w:ascii="Arial" w:hAnsi="Arial" w:cs="Arial"/>
          <w:color w:val="231f20"/>
        </w:rPr>
        <w:t xml:space="preserve">amento da Nota Fiscal/Fatura correspondente.</w:t>
      </w:r>
      <w:r>
        <w:rPr>
          <w:rFonts w:ascii="Arial" w:hAnsi="Arial" w:cs="Arial"/>
          <w:color w:val="231f20"/>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rPr>
        <w:t xml:space="preserve">CLÁUSULA OITAVA – DOS PRAZOS, CONDIÇÕES DE ENTREGA, ACONDICIONAMENTO E TRANSPORTE</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8.1.</w:t>
      </w:r>
      <w:r>
        <w:rPr>
          <w:rFonts w:ascii="Arial" w:hAnsi="Arial" w:cs="Arial"/>
          <w:color w:val="231f20"/>
        </w:rPr>
        <w:t xml:space="preserve"> As regras referentes aos prazos, condições de entrega, acondimento, transporte e os locais de entrega, constam no Termo de Referência. </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rPr>
        <w:t xml:space="preserve">CLÁUSULA NONA – DO RECEBIMENTO DO(S) PRODUTO(S):</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9.1.</w:t>
      </w:r>
      <w:r>
        <w:rPr>
          <w:rFonts w:ascii="Arial" w:hAnsi="Arial" w:cs="Arial"/>
          <w:color w:val="231f20"/>
        </w:rPr>
        <w:t xml:space="preserve"> As regras referentes ao recebimento do(s) produto(s) constam no Termo de Referência.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CLÁUSULA DÉCIMA – DAS CONDIÇÕES DE PAGAMENTO:</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color w:val="231f20"/>
        </w:rPr>
      </w:pPr>
      <w:r>
        <w:rPr>
          <w:rFonts w:ascii="Arial" w:hAnsi="Arial" w:cs="Arial"/>
          <w:b/>
          <w:color w:val="231f20"/>
        </w:rPr>
        <w:t xml:space="preserve">10.1.</w:t>
      </w:r>
      <w:r>
        <w:rPr>
          <w:rFonts w:ascii="Arial" w:hAnsi="Arial" w:cs="Arial"/>
          <w:color w:val="231f20"/>
        </w:rPr>
        <w:t xml:space="preserve"> As regras referentes às condições de pagamento</w:t>
      </w:r>
      <w:r>
        <w:rPr>
          <w:rFonts w:ascii="Arial" w:hAnsi="Arial" w:cs="Arial"/>
          <w:color w:val="231f20"/>
        </w:rPr>
        <w:t xml:space="preserve"> constam no Termo de Referência.</w:t>
      </w:r>
      <w:r>
        <w:rPr>
          <w:rFonts w:ascii="Arial" w:hAnsi="Arial" w:cs="Arial"/>
          <w:color w:val="231f20"/>
        </w:rPr>
      </w:r>
      <w:r>
        <w:rPr>
          <w:rFonts w:ascii="Arial" w:hAnsi="Arial" w:cs="Arial"/>
          <w:color w:val="231f20"/>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color w:val="000000"/>
        </w:rPr>
        <w:t xml:space="preserve">CLÁUSULA DÉCIMA PRIMEIRA – DA ALTERAÇÃO DE MARCA E DE PREÇO:</w:t>
      </w:r>
      <w:r>
        <w:rPr>
          <w:rFonts w:ascii="Arial" w:hAnsi="Arial" w:cs="Arial"/>
        </w:rPr>
      </w:r>
      <w:r>
        <w:rPr>
          <w:rFonts w:ascii="Arial" w:hAnsi="Arial" w:cs="Arial"/>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b/>
          <w:color w:val="231f20"/>
        </w:rPr>
        <w:t xml:space="preserve">11.1.</w:t>
      </w:r>
      <w:r>
        <w:rPr>
          <w:rFonts w:ascii="Arial" w:hAnsi="Arial" w:cs="Arial"/>
          <w:color w:val="231f20"/>
        </w:rPr>
        <w:t xml:space="preserve">  A ARP poderá ser alterada mediante a substituição de marca nas seguintes condições:</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 </w:t>
      </w:r>
      <w:r>
        <w:rPr>
          <w:rFonts w:ascii="Arial" w:hAnsi="Arial" w:cs="Arial"/>
        </w:rPr>
      </w:r>
    </w:p>
    <w:p>
      <w:pPr>
        <w:pStyle w:val="828"/>
        <w:pBdr/>
        <w:spacing/>
        <w:ind/>
        <w:jc w:val="both"/>
        <w:rPr>
          <w:rFonts w:ascii="Arial" w:hAnsi="Arial" w:cs="Arial"/>
        </w:rPr>
      </w:pPr>
      <w:r>
        <w:rPr>
          <w:rFonts w:ascii="Arial" w:hAnsi="Arial" w:cs="Arial"/>
          <w:b/>
          <w:color w:val="231f20"/>
        </w:rPr>
        <w:t xml:space="preserve">I </w:t>
      </w:r>
      <w:r>
        <w:rPr>
          <w:rFonts w:ascii="Arial" w:hAnsi="Arial" w:cs="Arial"/>
          <w:color w:val="231f20"/>
        </w:rPr>
        <w:t xml:space="preserve">- Por solicitação do Órgão ou da Entidade Gerenciadora, se comprovado que a marca não mais atende às especificações exigidas ou se encontra fora da legislação aplicável;</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II</w:t>
      </w:r>
      <w:r>
        <w:rPr>
          <w:rFonts w:ascii="Arial" w:hAnsi="Arial" w:cs="Arial"/>
          <w:color w:val="231f20"/>
        </w:rPr>
        <w:t xml:space="preserve"> - Por requerimento do Detentor, que deve ser apreciado pelo Órgão ou Entidade Gerenciadora, em hipótese que comprove a impossibilidade de fornecim</w:t>
      </w:r>
      <w:r>
        <w:rPr>
          <w:rFonts w:ascii="Arial" w:hAnsi="Arial" w:cs="Arial"/>
          <w:color w:val="231f20"/>
        </w:rPr>
        <w:t xml:space="preserve">ento.</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 </w:t>
      </w:r>
      <w:r>
        <w:rPr>
          <w:rFonts w:ascii="Arial" w:hAnsi="Arial" w:cs="Arial"/>
        </w:rPr>
      </w:r>
    </w:p>
    <w:p>
      <w:pPr>
        <w:pStyle w:val="828"/>
        <w:pBdr/>
        <w:spacing/>
        <w:ind/>
        <w:jc w:val="both"/>
        <w:rPr>
          <w:rFonts w:ascii="Arial" w:hAnsi="Arial" w:cs="Arial"/>
        </w:rPr>
      </w:pPr>
      <w:r>
        <w:rPr>
          <w:rFonts w:ascii="Arial" w:hAnsi="Arial" w:cs="Arial"/>
          <w:b/>
          <w:color w:val="231f20"/>
        </w:rPr>
        <w:t xml:space="preserve">11.1.1.</w:t>
      </w:r>
      <w:r>
        <w:rPr>
          <w:rFonts w:ascii="Arial" w:hAnsi="Arial" w:cs="Arial"/>
          <w:color w:val="231f20"/>
        </w:rPr>
        <w:t xml:space="preserve"> O Órgão ou Entidade Gerenciadora somente poderá aquiescer com a substituição requerida pelo Detentor se comprovadamente houver igualdade de condições ou vantagem para o interesse público.</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11.1.2.</w:t>
      </w:r>
      <w:r>
        <w:rPr>
          <w:rFonts w:ascii="Arial" w:hAnsi="Arial" w:cs="Arial"/>
          <w:color w:val="231f20"/>
        </w:rPr>
        <w:t xml:space="preserve"> A substituição de marca implicará em nova análise do produto, conforme previsto no edital, anexos e na legislação aplicável. </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11.1.3.</w:t>
      </w:r>
      <w:r>
        <w:rPr>
          <w:rFonts w:ascii="Arial" w:hAnsi="Arial" w:cs="Arial"/>
          <w:color w:val="231f20"/>
        </w:rPr>
        <w:t xml:space="preserve"> A substituição de marca deverá ser publicada obrigatoriamente no DIORONDON.</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DÉCIMA SEGUNDA – DA PESQUISA DE PREÇOS:</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rPr>
        <w:t xml:space="preserve">12.1.</w:t>
      </w:r>
      <w:r>
        <w:rPr>
          <w:rFonts w:ascii="Arial" w:hAnsi="Arial" w:cs="Arial"/>
        </w:rPr>
        <w:t xml:space="preserve">Os requisitos que utilizamos pa</w:t>
      </w:r>
      <w:r>
        <w:rPr>
          <w:rFonts w:ascii="Arial" w:hAnsi="Arial" w:cs="Arial"/>
        </w:rPr>
        <w:t xml:space="preserve">ra a realização de pesquisa de preços com intenção na aquisição do objeto deste Term</w:t>
      </w:r>
      <w:r>
        <w:rPr>
          <w:rFonts w:ascii="Arial" w:hAnsi="Arial" w:cs="Arial"/>
        </w:rPr>
        <w:t xml:space="preserve">o Referencial está seguindo o contexto das normativas estabelecidas pela Lei 14.133/2021 e pela Instrução Normativa 65/2021 SEGES/ME. Para tal descrevemos abaixo cada um dos requisitos que compõem a estimativa de preços levantadas e suas formas de cotação.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12.2.</w:t>
      </w:r>
      <w:r>
        <w:rPr>
          <w:rFonts w:ascii="Arial" w:hAnsi="Arial" w:cs="Arial"/>
        </w:rPr>
        <w:t xml:space="preserve"> A estimativa dos valores unitários citados neste Termo Referencial bem como o valor total global da aquisição de bens de consumo e permanentes (constam em planilhas</w:t>
      </w:r>
      <w:r>
        <w:rPr>
          <w:rFonts w:ascii="Arial" w:hAnsi="Arial" w:cs="Arial"/>
        </w:rPr>
        <w:t xml:space="preserve"> no item II dos Quantitativos); foram obtidos através de pesquisa de preços onde utilizamos como métodos e fonte de pesquisas as seguintes ferramentas: plataforma de preços públicos TCE-Radar (</w:t>
      </w:r>
      <w:r>
        <w:rPr>
          <w:rFonts w:ascii="Arial" w:hAnsi="Arial" w:cs="Arial"/>
        </w:rPr>
        <w:fldChar w:fldCharType="begin"/>
      </w:r>
      <w:r>
        <w:rPr>
          <w:rFonts w:ascii="Arial" w:hAnsi="Arial" w:cs="Arial"/>
        </w:rPr>
        <w:instrText xml:space="preserve"> HYPERLINK "https://radardeprecos.tce.mt.gov.br/extensions/ radarcompraspublicas/panel.html"</w:instrText>
      </w:r>
      <w:r>
        <w:rPr>
          <w:rFonts w:ascii="Arial" w:hAnsi="Arial" w:cs="Arial"/>
        </w:rPr>
        <w:fldChar w:fldCharType="separate"/>
      </w:r>
      <w:r>
        <w:rPr>
          <w:rStyle w:val="900"/>
          <w:rFonts w:ascii="Arial" w:hAnsi="Arial" w:cs="Arial"/>
        </w:rPr>
        <w:t xml:space="preserve">https://radardeprecos.tce.mt.gov.br/extensions/ radarcompraspublicas/panel.html</w:t>
      </w:r>
      <w:r>
        <w:rPr>
          <w:rFonts w:ascii="Arial" w:hAnsi="Arial" w:cs="Arial"/>
        </w:rPr>
        <w:fldChar w:fldCharType="end"/>
      </w:r>
      <w:r>
        <w:rPr>
          <w:rFonts w:ascii="Arial" w:hAnsi="Arial" w:cs="Arial"/>
        </w:rPr>
        <w:t xml:space="preserve">); Painel de preços (https://paineldeprecos.planejamento.gov.br/) e Portal Nacional de Contratações Públicas-PNCP.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12.3.</w:t>
      </w:r>
      <w:r>
        <w:rPr>
          <w:rFonts w:ascii="Arial" w:hAnsi="Arial" w:cs="Arial"/>
        </w:rPr>
        <w:t xml:space="preserve"> A identificação do(a)</w:t>
      </w:r>
      <w:r>
        <w:rPr>
          <w:rFonts w:ascii="Arial" w:hAnsi="Arial" w:cs="Arial"/>
        </w:rPr>
        <w:t xml:space="preserve"> responsável pela pesquisa preços consta com os seguintes dados: nome completo; cargo bem como o número de matrícula em todas páginas com os orçamentos que compõem este termo referencial.</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DÉCIMA TERCEIRA – DAS OBRIGAÇÕES DO ÓRGÃO DETENTOR DA ATA:</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13.1.</w:t>
      </w:r>
      <w:r>
        <w:rPr>
          <w:rFonts w:ascii="Arial" w:hAnsi="Arial" w:cs="Arial"/>
          <w:color w:val="231f20"/>
        </w:rPr>
        <w:t xml:space="preserve"> As obrigações do Órgão e do Detentor da Ata constam no Termo de Referência.</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rPr>
        <w:t xml:space="preserve">CLÁUSULA DÉCIMA QUARTA – DO CANCELAMENTO DO REGISTRO DE PREÇOS:</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14.1.</w:t>
      </w:r>
      <w:r>
        <w:rPr>
          <w:rFonts w:ascii="Arial" w:hAnsi="Arial" w:cs="Arial"/>
          <w:color w:val="231f20"/>
        </w:rPr>
        <w:t xml:space="preserve"> O Órgão ou Entidade Gerenciadora poderá cancelar o registro de preços do Detentor, total ou parcialm</w:t>
      </w:r>
      <w:r>
        <w:rPr>
          <w:rFonts w:ascii="Arial" w:hAnsi="Arial" w:cs="Arial"/>
          <w:color w:val="231f20"/>
        </w:rPr>
        <w:t xml:space="preserve">ente, observados o contraditório e a ampla defesa, nos seguintes casos:</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color w:val="231f20"/>
        </w:rPr>
        <w:t xml:space="preserve">I – Descumprimento parcial ou total, por parte do detentor, das condições da ARP;</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II </w:t>
      </w:r>
      <w:r>
        <w:rPr>
          <w:rFonts w:ascii="Arial" w:hAnsi="Arial" w:cs="Arial"/>
          <w:color w:val="231f20"/>
        </w:rPr>
        <w:t xml:space="preserve">– Quando o detentor não atender à convocação para firmar as obrigações contratuais decorrentes do registro de preços, não retirar ou não aceitar o instrumento equivalente no prazo estabelecido pelo órgão ou entidade gerenciadora;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III </w:t>
      </w:r>
      <w:r>
        <w:rPr>
          <w:rFonts w:ascii="Arial" w:hAnsi="Arial" w:cs="Arial"/>
          <w:color w:val="231f20"/>
        </w:rPr>
        <w:t xml:space="preserve">– Nas hipóteses de inexecução parcial ou total do contrato decorrente da ARP;</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color w:val="231f20"/>
        </w:rPr>
      </w:pPr>
      <w:r>
        <w:rPr>
          <w:rFonts w:ascii="Arial" w:hAnsi="Arial" w:cs="Arial"/>
          <w:b/>
          <w:color w:val="231f20"/>
        </w:rPr>
        <w:t xml:space="preserve">IV </w:t>
      </w:r>
      <w:r>
        <w:rPr>
          <w:rFonts w:ascii="Arial" w:hAnsi="Arial" w:cs="Arial"/>
          <w:color w:val="231f20"/>
        </w:rPr>
        <w:t xml:space="preserve">– Nas hipóteses dos preços registrad</w:t>
      </w:r>
      <w:r>
        <w:rPr>
          <w:rFonts w:ascii="Arial" w:hAnsi="Arial" w:cs="Arial"/>
          <w:color w:val="231f20"/>
        </w:rPr>
        <w:t xml:space="preserve">os não estiverem compatíveis com os praticados no mercado e o detentor se recusar a adequá-los na forma solicitada pelo órgão ou pela entidade gerenciadora, prevista no edital e na ARP, observado o disposto nos arts. 309 e 310 do D</w:t>
      </w:r>
      <w:r>
        <w:rPr>
          <w:rFonts w:ascii="Arial" w:hAnsi="Arial" w:cs="Arial"/>
          <w:color w:val="231f20"/>
        </w:rPr>
        <w:t xml:space="preserve">ecreto Municipal nº 11.685/2023;</w:t>
      </w: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b/>
          <w:color w:val="231f20"/>
        </w:rPr>
        <w:t xml:space="preserve">V </w:t>
      </w:r>
      <w:r>
        <w:rPr>
          <w:rFonts w:ascii="Arial" w:hAnsi="Arial" w:cs="Arial"/>
          <w:color w:val="231f20"/>
        </w:rPr>
        <w:t xml:space="preserve">– Por razões de interesse público, reduzida a termo no processo;</w:t>
      </w:r>
      <w:r>
        <w:rPr>
          <w:rFonts w:ascii="Arial" w:hAnsi="Arial" w:cs="Arial"/>
          <w:color w:val="231f20"/>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VI</w:t>
      </w:r>
      <w:r>
        <w:rPr>
          <w:rFonts w:ascii="Arial" w:hAnsi="Arial" w:cs="Arial"/>
          <w:color w:val="231f20"/>
        </w:rPr>
        <w:t xml:space="preserve"> – Por fato superveniente, decorrente de caso de força maior, caso fortuito ou fato do príncipe ou em decorrência de fatos imprevisíveis ou previsíveis de consequências incalcul</w:t>
      </w:r>
      <w:r>
        <w:rPr>
          <w:rFonts w:ascii="Arial" w:hAnsi="Arial" w:cs="Arial"/>
          <w:color w:val="231f20"/>
        </w:rPr>
        <w:t xml:space="preserve">áveis, que inviabilizem a execução das obrigações previstas na ata, devidamente demonstrado;</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VII</w:t>
      </w:r>
      <w:r>
        <w:rPr>
          <w:rFonts w:ascii="Arial" w:hAnsi="Arial" w:cs="Arial"/>
          <w:color w:val="231f20"/>
        </w:rPr>
        <w:t xml:space="preserve"> – Quando o detentor for suspenso ou impedido de licitar e contratar com a administração municipal;</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VIII</w:t>
      </w:r>
      <w:r>
        <w:rPr>
          <w:rFonts w:ascii="Arial" w:hAnsi="Arial" w:cs="Arial"/>
          <w:color w:val="231f20"/>
        </w:rPr>
        <w:t xml:space="preserve"> – Quando o detentor for declarado inidôneo para licitar ou contratar com a administração pública;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IX</w:t>
      </w:r>
      <w:r>
        <w:rPr>
          <w:rFonts w:ascii="Arial" w:hAnsi="Arial" w:cs="Arial"/>
          <w:color w:val="231f20"/>
        </w:rPr>
        <w:t xml:space="preserve"> – Amigavelmente, por acordo entre as partes, reduzida a termo no processo, desde que haja conveniência para a administração;</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X</w:t>
      </w:r>
      <w:r>
        <w:rPr>
          <w:rFonts w:ascii="Arial" w:hAnsi="Arial" w:cs="Arial"/>
          <w:color w:val="231f20"/>
        </w:rPr>
        <w:t xml:space="preserve"> – Por ordem judicial.</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XI </w:t>
      </w:r>
      <w:r>
        <w:rPr>
          <w:rFonts w:ascii="Arial" w:hAnsi="Arial" w:cs="Arial"/>
          <w:color w:val="231f20"/>
        </w:rPr>
        <w:t xml:space="preserve">- No caso de alteração social ou modificação da final</w:t>
      </w:r>
      <w:r>
        <w:rPr>
          <w:rFonts w:ascii="Arial" w:hAnsi="Arial" w:cs="Arial"/>
          <w:color w:val="231f20"/>
        </w:rPr>
        <w:t xml:space="preserve">idade ou da estrutura da empresa que restrinja sua capacidade de concluir o contrato.</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XII</w:t>
      </w:r>
      <w:r>
        <w:rPr>
          <w:rFonts w:ascii="Arial" w:hAnsi="Arial" w:cs="Arial"/>
          <w:color w:val="231f20"/>
        </w:rPr>
        <w:t xml:space="preserve"> - Nos casos em que o Detentor estiver envolvido em casos de corrupção, nos termos da Lei Federal nº 12.846, de 1º de agosto de 2013. </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XIII</w:t>
      </w:r>
      <w:r>
        <w:rPr>
          <w:rFonts w:ascii="Arial" w:hAnsi="Arial" w:cs="Arial"/>
          <w:color w:val="231f20"/>
        </w:rPr>
        <w:t xml:space="preserve"> – No caso de não cumprimento da regra referente à subcontratação prevista no Termo de Referência.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14.2.</w:t>
      </w:r>
      <w:r>
        <w:rPr>
          <w:rFonts w:ascii="Arial" w:hAnsi="Arial" w:cs="Arial"/>
          <w:color w:val="231f20"/>
        </w:rPr>
        <w:tab/>
        <w:t xml:space="preserve">A notificação do Órgão ou Entidade Gerenciadora para o cancelamento do preço registrado será enviada diretamente ao Detentor da ARP por ofício, correspondência eletrônica ou po</w:t>
      </w:r>
      <w:r>
        <w:rPr>
          <w:rFonts w:ascii="Arial" w:hAnsi="Arial" w:cs="Arial"/>
          <w:color w:val="231f20"/>
        </w:rPr>
        <w:t xml:space="preserve">r outro meio eficaz, e no caso da ausência do recebimento, a notificação será publicada no DIORONDON.</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14.3.</w:t>
      </w:r>
      <w:r>
        <w:rPr>
          <w:rFonts w:ascii="Arial" w:hAnsi="Arial" w:cs="Arial"/>
          <w:color w:val="231f20"/>
        </w:rPr>
        <w:t xml:space="preserve"> A solicitação do Detentor para cancelamento do registro de preço deverá ser formulada por escrito, assegurando-se o fornecimento do bem regis</w:t>
      </w:r>
      <w:r>
        <w:rPr>
          <w:rFonts w:ascii="Arial" w:hAnsi="Arial" w:cs="Arial"/>
          <w:color w:val="231f20"/>
        </w:rPr>
        <w:t xml:space="preserve">trado por prazo mínimo de quarenta e cinco dias, contado a partir da comprovação do recebimento da solicitação do cancelamento, salvo na hipótese da impossibilidade de seu cumprimento, devidamente justificada e aprovada pelo Órgão ou Entidade Gerenciadora.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14.4</w:t>
      </w:r>
      <w:r>
        <w:rPr>
          <w:rFonts w:ascii="Arial" w:hAnsi="Arial" w:cs="Arial"/>
          <w:b/>
          <w:color w:val="231f20"/>
        </w:rPr>
        <w:t xml:space="preserve">.</w:t>
      </w:r>
      <w:r>
        <w:rPr>
          <w:rFonts w:ascii="Arial" w:hAnsi="Arial" w:cs="Arial"/>
          <w:color w:val="231f20"/>
        </w:rPr>
        <w:tab/>
        <w:t xml:space="preserve">O Detentor poderá solicitar</w:t>
      </w:r>
      <w:r>
        <w:rPr>
          <w:rFonts w:ascii="Arial" w:hAnsi="Arial" w:cs="Arial"/>
          <w:color w:val="231f20"/>
        </w:rPr>
        <w:t xml:space="preserve"> o cancelamento do seu preço registrado na ocorrência de fato superveniente decorrente de caso fortuito ou de força maior, devidamente comprovados, bem como nas hipóteses compreendidas na legislação aplicável a que venham comprometer o fornecimento do bem.</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14.5.</w:t>
      </w:r>
      <w:r>
        <w:rPr>
          <w:rFonts w:ascii="Arial" w:hAnsi="Arial" w:cs="Arial"/>
          <w:color w:val="231f20"/>
        </w:rPr>
        <w:tab/>
        <w:t xml:space="preserve">O cancelamento da ARP não afasta a possibilidade de aplicação de sanções, observadas as competências previstas no Decreto Municipal nº 11.685/2023.</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14.6.</w:t>
      </w:r>
      <w:r>
        <w:rPr>
          <w:rFonts w:ascii="Arial" w:hAnsi="Arial" w:cs="Arial"/>
          <w:color w:val="231f20"/>
        </w:rPr>
        <w:t xml:space="preserve"> O cancelamento do Registro, nas hipóteses previstas, será formali</w:t>
      </w:r>
      <w:r>
        <w:rPr>
          <w:rFonts w:ascii="Arial" w:hAnsi="Arial" w:cs="Arial"/>
          <w:color w:val="231f20"/>
        </w:rPr>
        <w:t xml:space="preserve">zado por despacho da Autoridade Superior do Órgão ou Entidade Gerenciadora e publicado no DIORONDON</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rPr>
        <w:t xml:space="preserve">CLÁUSULA DÉCIMA QUINTA – DA ADESÃO EM ATA DE REGISTRO DE PREÇOS:</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color w:val="000000"/>
        </w:rPr>
        <w:t xml:space="preserve">15.1.</w:t>
      </w:r>
      <w:r>
        <w:rPr>
          <w:rFonts w:ascii="Arial" w:hAnsi="Arial" w:cs="Arial"/>
          <w:color w:val="000000"/>
        </w:rPr>
        <w:t xml:space="preserve"> Por falta de justificativa ou motivação por parte das unidades demandantes a clausu</w:t>
      </w:r>
      <w:r>
        <w:rPr>
          <w:rFonts w:ascii="Arial" w:hAnsi="Arial" w:cs="Arial"/>
          <w:color w:val="000000"/>
        </w:rPr>
        <w:t xml:space="preserve">la foi excluída, conforme orientação do TCU: “A inserção de cláusula em edital licitatório prevendo a possibilidade de adesão a ata de registro de preços por órgãos ou entidades não participantes do planejamento da contratação ("carona") exige justificativ</w:t>
      </w:r>
      <w:r>
        <w:rPr>
          <w:rFonts w:ascii="Arial" w:hAnsi="Arial" w:cs="Arial"/>
          <w:color w:val="000000"/>
        </w:rPr>
        <w:t xml:space="preserve">a específica, lastreada em estudo técnico referente ao objeto licitado e devidamente registrada no documento de planejamento da contratação.” (Acórdão 311/2018-Plenário | Relator: BRUNO DANTAS).</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DÉCIMA SEXTA – DA PROTEÇÃO E TRANSMISSÃO DE INFORMAÇÃO, DADOS PESSOAIS E/OU BASE DE DADOS:</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16.1.</w:t>
      </w:r>
      <w:r>
        <w:rPr>
          <w:rFonts w:ascii="Arial" w:hAnsi="Arial" w:cs="Arial"/>
          <w:color w:val="231f20"/>
        </w:rPr>
        <w:t xml:space="preserve"> O Detentor obriga-se ao dever de proteção, confidencialidade e sigilo de toda informação, dados pessoais e/ou base de dados a que tenha acesso, inclusive em razão de licenciamento ou da operação dos programas/</w:t>
      </w:r>
      <w:r>
        <w:rPr>
          <w:rFonts w:ascii="Arial" w:hAnsi="Arial" w:cs="Arial"/>
          <w:color w:val="231f20"/>
        </w:rPr>
        <w:t xml:space="preserve">sistemas, nos termos da Lei nº 13.709/2018, suas alterações e regulamentações posteriores, durante o cumprimento do objeto descrito no presente instrumento contratual.</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16.1.1.</w:t>
      </w:r>
      <w:r>
        <w:rPr>
          <w:rFonts w:ascii="Arial" w:hAnsi="Arial" w:cs="Arial"/>
          <w:color w:val="231f20"/>
        </w:rPr>
        <w:t xml:space="preserve"> O Detentor obriga-se a implementar medidas técnicas e administrativas suficien</w:t>
      </w:r>
      <w:r>
        <w:rPr>
          <w:rFonts w:ascii="Arial" w:hAnsi="Arial" w:cs="Arial"/>
          <w:color w:val="231f20"/>
        </w:rPr>
        <w:t xml:space="preserve">tes visando a segurança, a proteção, a confidencialidade e o sigilo de toda informação, dados pessoais e/ou base de dados a que tenha acesso a fim de evitar acessos não autorizados, acidentes, vazamentos acidentais ou ilícitos que causem destruição, perda,</w:t>
      </w:r>
      <w:r>
        <w:rPr>
          <w:rFonts w:ascii="Arial" w:hAnsi="Arial" w:cs="Arial"/>
          <w:color w:val="231f20"/>
        </w:rPr>
        <w:t xml:space="preserve"> alteração, comunicação ou qualquer outra forma de tratamento não previstos.</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16.1.2.</w:t>
      </w:r>
      <w:r>
        <w:rPr>
          <w:rFonts w:ascii="Arial" w:hAnsi="Arial" w:cs="Arial"/>
          <w:color w:val="231f20"/>
        </w:rPr>
        <w:t xml:space="preserve"> O Detentor deve as</w:t>
      </w:r>
      <w:r>
        <w:rPr>
          <w:rFonts w:ascii="Arial" w:hAnsi="Arial" w:cs="Arial"/>
          <w:color w:val="231f20"/>
        </w:rPr>
        <w:t xml:space="preserve">segurar-se de que todos os seus colaboradores, consultores e/ou prestadores de serviços que, no exercício das suas atividades, tenham acesso e/ou conhecimento da informação e/ou dos dados pessoais, respeitem o dever de proteção, confidencialidade e sigilo.</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16.1.3.</w:t>
      </w:r>
      <w:r>
        <w:rPr>
          <w:rFonts w:ascii="Arial" w:hAnsi="Arial" w:cs="Arial"/>
          <w:color w:val="231f20"/>
        </w:rPr>
        <w:t xml:space="preserve"> O Detentor não poderá utilizar-se de informação, dados pessoais e/ou base de dados a que tenha acesso, para fins distintos ao cumprimento do </w:t>
      </w:r>
      <w:r>
        <w:rPr>
          <w:rFonts w:ascii="Arial" w:hAnsi="Arial" w:cs="Arial"/>
          <w:color w:val="231f20"/>
        </w:rPr>
        <w:t xml:space="preserve">objeto deste instrumento contratual.</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16.1.4.</w:t>
      </w:r>
      <w:r>
        <w:rPr>
          <w:rFonts w:ascii="Arial" w:hAnsi="Arial" w:cs="Arial"/>
          <w:color w:val="231f20"/>
        </w:rPr>
        <w:tab/>
        <w:t xml:space="preserve">O Detentor não poderá disponibilizar e/ou transmitir a terceiros, sem prévia autorização escrita, informação, dados pessoais e/ou base de dados a que tenha acesso em razão do cumprimento do objeto deste instrumento contratual. </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16.1.4.1.</w:t>
      </w:r>
      <w:r>
        <w:rPr>
          <w:rFonts w:ascii="Arial" w:hAnsi="Arial" w:cs="Arial"/>
          <w:color w:val="231f20"/>
        </w:rPr>
        <w:t xml:space="preserve"> O Detentor obriga-se a fornecer informação, dados pessoais e/ou base de dados estritamente necessários caso quando da transmissão autorizada a terceiros durante o cumprimento do objeto descrito neste instrumento contratual.</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16.1.5.</w:t>
      </w:r>
      <w:r>
        <w:rPr>
          <w:rFonts w:ascii="Arial" w:hAnsi="Arial" w:cs="Arial"/>
          <w:color w:val="231f20"/>
        </w:rPr>
        <w:t xml:space="preserve"> O Detentor fica obrigado a devolver todos os documentos, registros e cópias que contenham informação, dados pessoais e/ou ba</w:t>
      </w:r>
      <w:r>
        <w:rPr>
          <w:rFonts w:ascii="Arial" w:hAnsi="Arial" w:cs="Arial"/>
          <w:color w:val="231f20"/>
        </w:rPr>
        <w:t xml:space="preserve">se de dados a que tenha tido acesso durante a execução do cumprimento do objeto deste instrumento contratual no prazo de 30 (trinta) dias corridos contados da rescisão contratual, restando autorizada a conservação apenas nas hipóteses legalmente previstas.</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16.1.5.1.</w:t>
      </w:r>
      <w:r>
        <w:rPr>
          <w:rFonts w:ascii="Arial" w:hAnsi="Arial" w:cs="Arial"/>
          <w:color w:val="231f20"/>
        </w:rPr>
        <w:t xml:space="preserve"> Ao Detentor não será permitido deter cópias ou backups, informação, dados pessoais e/ou base de dados a que ten</w:t>
      </w:r>
      <w:r>
        <w:rPr>
          <w:rFonts w:ascii="Arial" w:hAnsi="Arial" w:cs="Arial"/>
          <w:color w:val="231f20"/>
        </w:rPr>
        <w:t xml:space="preserve">ha tido acesso durante a execução do cumprimento do objeto deste instrumento contratual.</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16.1.5.1.1.</w:t>
      </w:r>
      <w:r>
        <w:rPr>
          <w:rFonts w:ascii="Arial" w:hAnsi="Arial" w:cs="Arial"/>
          <w:color w:val="231f20"/>
        </w:rPr>
        <w:t xml:space="preserve"> O Detentor deverá eliminar os dados pessoais a que tiver conhecimento ou posse em razão do cumprimento do objeto deste instrumento contratual tão logo não haja necessidade de realizar seu tratamento.</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16.1.6.</w:t>
      </w:r>
      <w:r>
        <w:rPr>
          <w:rFonts w:ascii="Arial" w:hAnsi="Arial" w:cs="Arial"/>
          <w:color w:val="231f20"/>
        </w:rPr>
        <w:tab/>
        <w:t xml:space="preserve">O Detentor deverá notificar, imediatamente, o Órgão ou Entidade Gerenciadora/Órgãos Participantes no caso de vazamento, perda parcial ou total de informação, dados pessoais e/ou base de dados.</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w:t>
      </w:r>
      <w:r>
        <w:rPr>
          <w:rFonts w:ascii="Arial" w:hAnsi="Arial" w:cs="Arial"/>
          <w:b/>
          <w:color w:val="231f20"/>
        </w:rPr>
        <w:t xml:space="preserve">6.1 </w:t>
      </w:r>
      <w:r>
        <w:rPr>
          <w:rFonts w:ascii="Arial" w:hAnsi="Arial" w:cs="Arial"/>
          <w:color w:val="231f20"/>
        </w:rPr>
        <w:t xml:space="preserve">A notificação não eximirá o Detentor das obrigações e/ou sanções que possam incidir em razão da perda de informação, dados pessoais e/ou base de dados.</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16.1.6.2.</w:t>
      </w:r>
      <w:r>
        <w:rPr>
          <w:rFonts w:ascii="Arial" w:hAnsi="Arial" w:cs="Arial"/>
          <w:color w:val="231f20"/>
        </w:rPr>
        <w:t xml:space="preserve"> O Detentor que descumprir nos termos da Lei nº 13.709/2018 suas alterações e regulamenta</w:t>
      </w:r>
      <w:r>
        <w:rPr>
          <w:rFonts w:ascii="Arial" w:hAnsi="Arial" w:cs="Arial"/>
          <w:color w:val="231f20"/>
        </w:rPr>
        <w:t xml:space="preserve">ções posteriores, durante ou após a execução do objeto descrito no presente instrumento contratual fica obrigado a assumir total responsabilidade e ao ressarcimento por todo e qualquer dano e/ou prejuízo sofrido, incluindo sanções aplicadas pela autoridade</w:t>
      </w:r>
      <w:r>
        <w:rPr>
          <w:rFonts w:ascii="Arial" w:hAnsi="Arial" w:cs="Arial"/>
          <w:color w:val="231f20"/>
        </w:rPr>
        <w:t xml:space="preserve"> competente.</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16.1.7.</w:t>
      </w:r>
      <w:r>
        <w:rPr>
          <w:rFonts w:ascii="Arial" w:hAnsi="Arial" w:cs="Arial"/>
          <w:color w:val="231f20"/>
        </w:rPr>
        <w:t xml:space="preserve"> O Detentor fica obrigado a manter preposto para comunicação com o Órgão ou Entidade Gerenciadora/ para os assuntos pertinentes à Lei nº 13.709/2018 suas alterações e regulamentações posteriores.</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16.1.8.</w:t>
      </w:r>
      <w:r>
        <w:rPr>
          <w:rFonts w:ascii="Arial" w:hAnsi="Arial" w:cs="Arial"/>
          <w:color w:val="231f20"/>
        </w:rPr>
        <w:t xml:space="preserve"> O dever de sigilo e confiden</w:t>
      </w:r>
      <w:r>
        <w:rPr>
          <w:rFonts w:ascii="Arial" w:hAnsi="Arial" w:cs="Arial"/>
          <w:color w:val="231f20"/>
        </w:rPr>
        <w:t xml:space="preserve">cialidade, e as demais obrigações descritas na presente cláusula, permanecerão em vigor após a extinção das relações entre o Detentor e o Órgão ou Entidade Gerenciadora/Órgãos Participantes, bem como, entre o Detentor e os seus colaboradores, subcontratado</w:t>
      </w:r>
      <w:r>
        <w:rPr>
          <w:rFonts w:ascii="Arial" w:hAnsi="Arial" w:cs="Arial"/>
          <w:color w:val="231f20"/>
        </w:rPr>
        <w:t xml:space="preserve">s, consultores e/ou prestadores de serviços sob pena das sanções previstas na Lei nº 13.709/2018, suas alterações e regulamentações posteriores, salvo decisão judicial contrária.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16.1.9</w:t>
      </w:r>
      <w:r>
        <w:rPr>
          <w:rFonts w:ascii="Arial" w:hAnsi="Arial" w:cs="Arial"/>
          <w:color w:val="231f20"/>
        </w:rPr>
        <w:t xml:space="preserve">. O não cumprimento de quaisquer das obrigações descritas nesta cláusula sujeitará o Detentor a processo administrativo para apuração de responsabilidade e, consequente, sanção, sem prejuízo de outras cominações cíveis e penais.</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rPr>
        <w:t xml:space="preserve">CLÁUSULA DÉCIMA SÉTIMA - DAS SANÇÕES ADMINISTRATIVAS:</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17.1.</w:t>
      </w:r>
      <w:r>
        <w:rPr>
          <w:rFonts w:ascii="Arial" w:hAnsi="Arial" w:cs="Arial"/>
          <w:color w:val="231f20"/>
        </w:rPr>
        <w:t xml:space="preserve"> O descumprimento das obrigações ass</w:t>
      </w:r>
      <w:r>
        <w:rPr>
          <w:rFonts w:ascii="Arial" w:hAnsi="Arial" w:cs="Arial"/>
          <w:color w:val="231f20"/>
        </w:rPr>
        <w:t xml:space="preserve">umidas caracterizará a inadimplência do Detentor, sujeitando-o às seguintes penalidades, na forma do Decreto nº 11.685/2023:</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17.1.1.</w:t>
      </w:r>
      <w:r>
        <w:rPr>
          <w:rFonts w:ascii="Arial" w:hAnsi="Arial" w:cs="Arial"/>
          <w:color w:val="231f20"/>
        </w:rPr>
        <w:t xml:space="preserve"> Advertência;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17.1.2.</w:t>
      </w:r>
      <w:r>
        <w:rPr>
          <w:rFonts w:ascii="Arial" w:hAnsi="Arial" w:cs="Arial"/>
          <w:color w:val="231f20"/>
        </w:rPr>
        <w:t xml:space="preserve"> Multas nos seguintes percentuais:</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a)</w:t>
      </w:r>
      <w:r>
        <w:rPr>
          <w:rFonts w:ascii="Arial" w:hAnsi="Arial" w:cs="Arial"/>
          <w:color w:val="231f20"/>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b)</w:t>
      </w:r>
      <w:r>
        <w:rPr>
          <w:rFonts w:ascii="Arial" w:hAnsi="Arial" w:cs="Arial"/>
          <w:color w:val="231f20"/>
        </w:rPr>
        <w:t xml:space="preserve"> multa compensatória de até 3% (três por cento) sobre o valo</w:t>
      </w:r>
      <w:r>
        <w:rPr>
          <w:rFonts w:ascii="Arial" w:hAnsi="Arial" w:cs="Arial"/>
          <w:color w:val="231f20"/>
        </w:rPr>
        <w:t xml:space="preserve">r de referência ao contratado que retardar o procedimento de contratação, descumprir preceito normativo ou obrigações assumidas.</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c)</w:t>
      </w:r>
      <w:r>
        <w:rPr>
          <w:rFonts w:ascii="Arial" w:hAnsi="Arial" w:cs="Arial"/>
          <w:color w:val="231f20"/>
        </w:rPr>
        <w:t xml:space="preserve"> multa compensatória de até 5% (cinco por</w:t>
      </w:r>
      <w:r>
        <w:rPr>
          <w:rFonts w:ascii="Arial" w:hAnsi="Arial" w:cs="Arial"/>
          <w:color w:val="231f20"/>
        </w:rPr>
        <w:t xml:space="preserve"> cento) sobre o valor da parcela inadimplida ao contratado que entregar o objeto contratual em desacordo com as especificações, condições e qualidade contratadas ou com irregularidades ou defeitos ocultos que o tornem impróprio para o fim a que se destina.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d)</w:t>
      </w:r>
      <w:r>
        <w:rPr>
          <w:rFonts w:ascii="Arial" w:hAnsi="Arial" w:cs="Arial"/>
          <w:color w:val="231f20"/>
        </w:rPr>
        <w:t xml:space="preserve"> multa compensatória de até 30% (trinta por cento) do valor do contrato em razã</w:t>
      </w:r>
      <w:r>
        <w:rPr>
          <w:rFonts w:ascii="Arial" w:hAnsi="Arial" w:cs="Arial"/>
          <w:color w:val="231f20"/>
        </w:rPr>
        <w:t xml:space="preserve">o do cometimento das infrações administrativas previstas no Decreto Municipal nº 11.685/2023</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17.1.3.</w:t>
      </w:r>
      <w:r>
        <w:rPr>
          <w:rFonts w:ascii="Arial" w:hAnsi="Arial" w:cs="Arial"/>
          <w:color w:val="231f20"/>
        </w:rPr>
        <w:t xml:space="preserve"> Impedimento de licitar e contratar;</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17.1.4.</w:t>
      </w:r>
      <w:r>
        <w:rPr>
          <w:rFonts w:ascii="Arial" w:hAnsi="Arial" w:cs="Arial"/>
          <w:color w:val="231f20"/>
        </w:rPr>
        <w:t xml:space="preserve"> Declaração de inidoneidade para licitar e contratar.</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17.2.</w:t>
      </w:r>
      <w:r>
        <w:rPr>
          <w:rFonts w:ascii="Arial" w:hAnsi="Arial" w:cs="Arial"/>
          <w:color w:val="231f20"/>
        </w:rPr>
        <w:t xml:space="preserve"> A multa moratória pode ser aplicada cumulativamente com as demais multas previstas.</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17.3.</w:t>
      </w:r>
      <w:r>
        <w:rPr>
          <w:rFonts w:ascii="Arial" w:hAnsi="Arial" w:cs="Arial"/>
          <w:color w:val="231f20"/>
        </w:rPr>
        <w:t xml:space="preserve"> As penalidades de advertência e multa serão aplicadas pelo Diretor competente.</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17.4.</w:t>
      </w:r>
      <w:r>
        <w:rPr>
          <w:rFonts w:ascii="Arial" w:hAnsi="Arial" w:cs="Arial"/>
          <w:color w:val="231f20"/>
        </w:rPr>
        <w:t xml:space="preserve"> A penalidade de impedimento de licitar e contratar será aplicada pelo Secretário Municipal ou ocupante de cargo equivalente, nos</w:t>
      </w:r>
      <w:r>
        <w:rPr>
          <w:rFonts w:ascii="Arial" w:hAnsi="Arial" w:cs="Arial"/>
          <w:color w:val="231f20"/>
        </w:rPr>
        <w:t xml:space="preserve"> demais órgãos e entidades da administração direta ou indireta.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17.5.</w:t>
      </w:r>
      <w:r>
        <w:rPr>
          <w:rFonts w:ascii="Arial" w:hAnsi="Arial" w:cs="Arial"/>
          <w:color w:val="231f20"/>
        </w:rPr>
        <w:t xml:space="preserve"> A penalidade de declaração de inidoneidade será aplicada pelo Secretário ou autoridade máxima da entidade, nos demais órgãos e entidades da administração direta ou indireta.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17.6.</w:t>
      </w:r>
      <w:r>
        <w:rPr>
          <w:rFonts w:ascii="Arial" w:hAnsi="Arial" w:cs="Arial"/>
          <w:color w:val="231f20"/>
        </w:rPr>
        <w:t xml:space="preserve"> A notificada poderá apresentar defesa escrita, no prazo de 15 (quinze) dias úteis, cujo termo inicial será:</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a)</w:t>
      </w:r>
      <w:r>
        <w:rPr>
          <w:rFonts w:ascii="Arial" w:hAnsi="Arial" w:cs="Arial"/>
          <w:color w:val="231f20"/>
        </w:rPr>
        <w:t xml:space="preserve"> o primeiro dia após a confirmação do recebimento da notificação por e-mail;</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b)</w:t>
      </w:r>
      <w:r>
        <w:rPr>
          <w:rFonts w:ascii="Arial" w:hAnsi="Arial" w:cs="Arial"/>
          <w:color w:val="231f20"/>
        </w:rPr>
        <w:t xml:space="preserve"> o primeiro dia após a juntada ao processo do Aviso de Recebimento da</w:t>
      </w:r>
      <w:r>
        <w:rPr>
          <w:rFonts w:ascii="Arial" w:hAnsi="Arial" w:cs="Arial"/>
          <w:color w:val="231f20"/>
        </w:rPr>
        <w:t xml:space="preserve"> correspondência em que a notificação foi enviada;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c)</w:t>
      </w:r>
      <w:r>
        <w:rPr>
          <w:rFonts w:ascii="Arial" w:hAnsi="Arial" w:cs="Arial"/>
          <w:color w:val="231f20"/>
        </w:rPr>
        <w:t xml:space="preserve"> o primeiro dia após o fim do prazo de 5 (cinco) dias, quando a notificação for publicada no DIORONDON.</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17.7.</w:t>
      </w:r>
      <w:r>
        <w:rPr>
          <w:rFonts w:ascii="Arial" w:hAnsi="Arial" w:cs="Arial"/>
          <w:color w:val="231f20"/>
        </w:rPr>
        <w:t xml:space="preserve"> No caso de aplicação das penalidades de advertência, multa ou impedimento de licitar e contratar será concedido prazo de 15 (quinze) dias para apresentação de recurso a contar da publicação da decisão condenatória no DIORONDON.</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17.8.</w:t>
      </w:r>
      <w:r>
        <w:rPr>
          <w:rFonts w:ascii="Arial" w:hAnsi="Arial" w:cs="Arial"/>
          <w:color w:val="231f20"/>
        </w:rPr>
        <w:t xml:space="preserve"> Da aplicação de sanção de declaração de inidoneidade para licitar ou contratar caberá apenas pedido de reconside</w:t>
      </w:r>
      <w:r>
        <w:rPr>
          <w:rFonts w:ascii="Arial" w:hAnsi="Arial" w:cs="Arial"/>
          <w:color w:val="231f20"/>
        </w:rPr>
        <w:t xml:space="preserve">ração, que deverá ser apresentado no prazo de 15 (quinze) dias úteis, contado da data da publicação da decisão no DIORONDON.</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17.9.</w:t>
      </w:r>
      <w:r>
        <w:rPr>
          <w:rFonts w:ascii="Arial" w:hAnsi="Arial" w:cs="Arial"/>
          <w:color w:val="231f20"/>
        </w:rPr>
        <w:t xml:space="preserve"> As sanções de advertência, impedimento de licitar e contratar e declaração de inidoneidade para licitar ou contratar poderão ser aplicadas, cumulativamente ou não, à penalidade de multa.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17.10.</w:t>
      </w:r>
      <w:r>
        <w:rPr>
          <w:rFonts w:ascii="Arial" w:hAnsi="Arial" w:cs="Arial"/>
          <w:color w:val="231f20"/>
        </w:rPr>
        <w:t xml:space="preserve"> O recurso e o pedido de reconsideração terão efeito suspensivo do ato ou da decisão recorrida até que sobrevenha decisão final da autoridade competente.</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17.11. </w:t>
      </w:r>
      <w:r>
        <w:rPr>
          <w:rFonts w:ascii="Arial" w:hAnsi="Arial" w:cs="Arial"/>
          <w:color w:val="231f20"/>
        </w:rPr>
        <w:t xml:space="preserve">A aplicação das sanções </w:t>
      </w:r>
      <w:r>
        <w:rPr>
          <w:rFonts w:ascii="Arial" w:hAnsi="Arial" w:cs="Arial"/>
          <w:color w:val="231f20"/>
        </w:rPr>
        <w:t xml:space="preserve">previstas não exclui, em hipótese alguma, a obrigação de reparação integral dos danos causados, aplicando-se no que couber o disposto na Lei 14.133/2021 e Decreto Municipal 11.685/2023. </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rPr>
        <w:t xml:space="preserve">18. CLÁUSULA DÉCIMA OITAVA – DAS DISPOSIÇÕES FINAIS</w:t>
      </w:r>
      <w:r>
        <w:rPr>
          <w:rFonts w:ascii="Arial" w:hAnsi="Arial" w:cs="Arial"/>
        </w:rPr>
      </w:r>
      <w:r>
        <w:rPr>
          <w:rFonts w:ascii="Arial" w:hAnsi="Arial" w:cs="Arial"/>
        </w:rPr>
      </w:r>
    </w:p>
    <w:p>
      <w:pPr>
        <w:pStyle w:val="828"/>
        <w:pBdr/>
        <w:spacing/>
        <w:ind/>
        <w:jc w:val="both"/>
        <w:rPr>
          <w:rFonts w:ascii="Arial" w:hAnsi="Arial" w:cs="Arial"/>
          <w:b/>
          <w:color w:val="231f20"/>
        </w:rPr>
      </w:pPr>
      <w:r>
        <w:rPr>
          <w:rFonts w:ascii="Arial" w:hAnsi="Arial" w:cs="Arial"/>
          <w:b/>
          <w:color w:val="231f20"/>
        </w:rPr>
      </w:r>
      <w:r>
        <w:rPr>
          <w:rFonts w:ascii="Arial" w:hAnsi="Arial" w:cs="Arial"/>
          <w:b/>
          <w:color w:val="231f20"/>
        </w:rPr>
      </w:r>
    </w:p>
    <w:p>
      <w:pPr>
        <w:pStyle w:val="828"/>
        <w:pBdr/>
        <w:spacing/>
        <w:ind/>
        <w:jc w:val="both"/>
        <w:rPr>
          <w:rFonts w:ascii="Arial" w:hAnsi="Arial" w:cs="Arial"/>
        </w:rPr>
      </w:pPr>
      <w:r>
        <w:rPr>
          <w:rFonts w:ascii="Arial" w:hAnsi="Arial" w:cs="Arial"/>
          <w:b/>
          <w:color w:val="231f20"/>
        </w:rPr>
        <w:t xml:space="preserve">18.1.</w:t>
      </w:r>
      <w:r>
        <w:rPr>
          <w:rFonts w:ascii="Arial" w:hAnsi="Arial" w:cs="Arial"/>
          <w:color w:val="231f20"/>
        </w:rPr>
        <w:t xml:space="preserve"> Aplicam-se aos produtos todas as normas e exigências do Código de Defesa do Consumidor.  </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18.2.</w:t>
      </w:r>
      <w:r>
        <w:rPr>
          <w:rFonts w:ascii="Arial" w:hAnsi="Arial" w:cs="Arial"/>
          <w:color w:val="231f20"/>
        </w:rPr>
        <w:t xml:space="preserve"> A tolerância do Município com qualquer atraso ou inadimplência por parte do Detentor não importará de forma alguma em alteração ou novação.</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18.3.</w:t>
      </w:r>
      <w:r>
        <w:rPr>
          <w:rFonts w:ascii="Arial" w:hAnsi="Arial" w:cs="Arial"/>
          <w:color w:val="231f20"/>
        </w:rPr>
        <w:t xml:space="preserve"> Para ciência dos inter</w:t>
      </w:r>
      <w:r>
        <w:rPr>
          <w:rFonts w:ascii="Arial" w:hAnsi="Arial" w:cs="Arial"/>
          <w:color w:val="231f20"/>
        </w:rPr>
        <w:t xml:space="preserve">essados e efeitos legais, a publicação do extrato da presente ARP no Diário Oficial do Município – DIORONDON. Será providenciada e correrá por conta e ônus do Município.</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18.4.</w:t>
      </w:r>
      <w:r>
        <w:rPr>
          <w:rFonts w:ascii="Arial" w:hAnsi="Arial" w:cs="Arial"/>
          <w:color w:val="231f20"/>
        </w:rPr>
        <w:t xml:space="preserve"> Após 30 (trinta) dias do encerramento da vigência desta Ata de Registro de Preços, as amostras poderão ser retiradas em até 30 (trinta) dias pelo Detentor no seguinte endereço: Paço Municipal.</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18.4.1.</w:t>
      </w:r>
      <w:r>
        <w:rPr>
          <w:rFonts w:ascii="Arial" w:hAnsi="Arial" w:cs="Arial"/>
          <w:color w:val="231f20"/>
        </w:rPr>
        <w:t xml:space="preserve"> A Administração poderá dar o destino que melhor lhe convier às amostras que não forem retiradas no prazo estabelecido no subitem ante</w:t>
      </w:r>
      <w:r>
        <w:rPr>
          <w:rFonts w:ascii="Arial" w:hAnsi="Arial" w:cs="Arial"/>
          <w:color w:val="231f20"/>
        </w:rPr>
        <w:t xml:space="preserve">rior, sem direito a ressarcimento.</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18.5.</w:t>
      </w:r>
      <w:r>
        <w:rPr>
          <w:rFonts w:ascii="Arial" w:hAnsi="Arial" w:cs="Arial"/>
          <w:color w:val="231f20"/>
        </w:rPr>
        <w:t xml:space="preserve"> A presente ARP está vinculada, independentemente de transcrição, ao Edital e seus Anexos, bem como a proposta do Detentor, e integram o presente instrumento os seguintes anexos:</w:t>
      </w:r>
      <w:r>
        <w:rPr>
          <w:rFonts w:ascii="Arial" w:hAnsi="Arial" w:cs="Arial"/>
        </w:rPr>
      </w:r>
      <w:r>
        <w:rPr>
          <w:rFonts w:ascii="Arial" w:hAnsi="Arial" w:cs="Arial"/>
        </w:rPr>
      </w:r>
    </w:p>
    <w:p>
      <w:pPr>
        <w:pStyle w:val="828"/>
        <w:pBdr/>
        <w:spacing/>
        <w:ind/>
        <w:jc w:val="both"/>
        <w:rPr>
          <w:rFonts w:ascii="Arial" w:hAnsi="Arial" w:cs="Arial"/>
          <w:color w:val="ff0000"/>
        </w:rPr>
      </w:pPr>
      <w:r>
        <w:rPr>
          <w:rFonts w:ascii="Arial" w:hAnsi="Arial" w:cs="Arial"/>
          <w:color w:val="ff0000"/>
        </w:rPr>
        <w:tab/>
      </w:r>
      <w:r>
        <w:rPr>
          <w:rFonts w:ascii="Arial" w:hAnsi="Arial" w:cs="Arial"/>
          <w:color w:val="ff0000"/>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231f20"/>
        </w:rPr>
        <w:t xml:space="preserve">18.5.1. ANEXO I</w:t>
      </w:r>
      <w:r>
        <w:rPr>
          <w:rFonts w:ascii="Arial" w:hAnsi="Arial" w:cs="Arial"/>
          <w:color w:val="231f20"/>
        </w:rPr>
        <w:t xml:space="preserve"> – Termo de Referência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18.5.2. ANEXO II </w:t>
      </w:r>
      <w:r>
        <w:rPr>
          <w:rFonts w:ascii="Arial" w:hAnsi="Arial" w:cs="Arial"/>
          <w:color w:val="231f20"/>
        </w:rPr>
        <w:t xml:space="preserve">- Informações sobre os produtos registrados;</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18.5.3. ANEXO III</w:t>
      </w:r>
      <w:r>
        <w:rPr>
          <w:rFonts w:ascii="Arial" w:hAnsi="Arial" w:cs="Arial"/>
          <w:color w:val="231f20"/>
        </w:rPr>
        <w:t xml:space="preserve"> - Relação dos endereços dos participantes deste Registro;</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18.5.4. ANEXO IV</w:t>
      </w:r>
      <w:r>
        <w:rPr>
          <w:rFonts w:ascii="Arial" w:hAnsi="Arial" w:cs="Arial"/>
          <w:color w:val="231f20"/>
        </w:rPr>
        <w:t xml:space="preserve"> - Cadastro de Reserva;</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b/>
          <w:color w:val="231f20"/>
        </w:rPr>
        <w:t xml:space="preserve">18.5.5. ANEXO V</w:t>
      </w:r>
      <w:r>
        <w:rPr>
          <w:rFonts w:ascii="Arial" w:hAnsi="Arial" w:cs="Arial"/>
          <w:color w:val="231f20"/>
        </w:rPr>
        <w:t xml:space="preserve"> – Minuta de Contrato</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color w:val="231f20"/>
        </w:rPr>
        <w:t xml:space="preserve">18.6. As questões decorrentes d</w:t>
      </w:r>
      <w:r>
        <w:rPr>
          <w:rFonts w:ascii="Arial" w:hAnsi="Arial" w:cs="Arial"/>
          <w:color w:val="231f20"/>
        </w:rPr>
        <w:t xml:space="preserve">a utilização da presente Ata que não possam ser dirimidas administrativamente serão processadas e julgadas no foro da cidade de Rondonópolis/MT, eleito pelas partes com exclusão de qualquer outro.</w:t>
      </w: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color w:val="231f20"/>
        </w:rPr>
        <w:t xml:space="preserve">Rond</w:t>
      </w:r>
      <w:r>
        <w:rPr>
          <w:rFonts w:ascii="Arial" w:hAnsi="Arial" w:cs="Arial"/>
          <w:color w:val="231f20"/>
        </w:rPr>
        <w:t xml:space="preserve">onópolis-MT, XX de XXXXX de 2026</w:t>
      </w:r>
      <w:r>
        <w:rPr>
          <w:rFonts w:ascii="Arial" w:hAnsi="Arial" w:cs="Arial"/>
          <w:color w:val="231f20"/>
        </w:rPr>
        <w:t xml:space="preserve">.</w:t>
      </w:r>
      <w:r>
        <w:rPr>
          <w:rFonts w:ascii="Arial" w:hAnsi="Arial" w:cs="Arial"/>
        </w:rPr>
      </w:r>
      <w:r>
        <w:rPr>
          <w:rFonts w:ascii="Arial" w:hAnsi="Arial" w:cs="Arial"/>
        </w:rPr>
      </w:r>
    </w:p>
    <w:p>
      <w:pPr>
        <w:pStyle w:val="828"/>
        <w:pBdr/>
        <w:spacing/>
        <w:ind/>
        <w:jc w:val="both"/>
        <w:rPr>
          <w:rFonts w:ascii="Arial" w:hAnsi="Arial" w:cs="Arial"/>
          <w:color w:val="231f20"/>
        </w:rPr>
      </w:pPr>
      <w:r>
        <w:rPr>
          <w:rFonts w:ascii="Arial" w:hAnsi="Arial" w:cs="Arial"/>
          <w:color w:val="231f20"/>
        </w:rPr>
      </w:r>
      <w:r>
        <w:rPr>
          <w:rFonts w:ascii="Arial" w:hAnsi="Arial" w:cs="Arial"/>
          <w:color w:val="231f20"/>
        </w:rPr>
      </w:r>
    </w:p>
    <w:p>
      <w:pPr>
        <w:pStyle w:val="828"/>
        <w:pBdr/>
        <w:spacing/>
        <w:ind/>
        <w:jc w:val="both"/>
        <w:rPr>
          <w:rFonts w:ascii="Arial" w:hAnsi="Arial" w:cs="Arial"/>
        </w:rPr>
      </w:pPr>
      <w:r>
        <w:rPr>
          <w:rFonts w:ascii="Arial" w:hAnsi="Arial" w:cs="Arial"/>
          <w:color w:val="231f20"/>
        </w:rPr>
        <w:t xml:space="preserve">...........................................................</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color w:val="231f20"/>
        </w:rPr>
        <w:t xml:space="preserve">Secretário Municipal de .............................</w:t>
      </w:r>
      <w:r>
        <w:rPr>
          <w:rFonts w:ascii="Arial" w:hAnsi="Arial" w:cs="Arial"/>
        </w:rPr>
      </w:r>
      <w:r>
        <w:rPr>
          <w:rFonts w:ascii="Arial" w:hAnsi="Arial" w:cs="Arial"/>
        </w:rPr>
      </w:r>
    </w:p>
    <w:p>
      <w:pPr>
        <w:pStyle w:val="828"/>
        <w:pBdr/>
        <w:spacing/>
        <w:ind/>
        <w:jc w:val="right"/>
        <w:rPr>
          <w:rFonts w:ascii="Arial" w:hAnsi="Arial" w:cs="Arial"/>
        </w:rPr>
      </w:pPr>
      <w:r>
        <w:rPr>
          <w:rFonts w:ascii="Arial" w:hAnsi="Arial" w:cs="Arial"/>
          <w:color w:val="231f20"/>
        </w:rPr>
        <w:t xml:space="preserve">.....................................................................</w:t>
      </w:r>
      <w:r>
        <w:rPr>
          <w:rFonts w:ascii="Arial" w:hAnsi="Arial" w:cs="Arial"/>
        </w:rPr>
      </w:r>
      <w:r>
        <w:rPr>
          <w:rFonts w:ascii="Arial" w:hAnsi="Arial" w:cs="Arial"/>
        </w:rPr>
      </w:r>
    </w:p>
    <w:p>
      <w:pPr>
        <w:pStyle w:val="828"/>
        <w:pBdr/>
        <w:spacing/>
        <w:ind/>
        <w:jc w:val="center"/>
        <w:rPr>
          <w:rFonts w:ascii="Arial" w:hAnsi="Arial" w:cs="Arial"/>
          <w:color w:val="231f20"/>
        </w:rPr>
      </w:pPr>
      <w:r>
        <w:rPr>
          <w:rFonts w:ascii="Arial" w:hAnsi="Arial" w:cs="Arial"/>
          <w:color w:val="231f20"/>
        </w:rPr>
        <w:t xml:space="preserve">Fornecedor da Ata de Registro de Preços</w:t>
      </w:r>
      <w:r>
        <w:rPr>
          <w:rFonts w:ascii="Arial" w:hAnsi="Arial" w:cs="Arial"/>
          <w:color w:val="231f20"/>
        </w:rPr>
      </w:r>
      <w:r>
        <w:rPr>
          <w:rFonts w:ascii="Arial" w:hAnsi="Arial" w:cs="Arial"/>
          <w:color w:val="231f20"/>
        </w:rPr>
      </w:r>
    </w:p>
    <w:p>
      <w:pPr>
        <w:pStyle w:val="828"/>
        <w:pBdr/>
        <w:spacing/>
        <w:ind/>
        <w:rPr>
          <w:rFonts w:ascii="Arial" w:hAnsi="Arial" w:cs="Arial"/>
          <w:color w:val="231f20"/>
        </w:rPr>
      </w:pPr>
      <w:r>
        <w:rPr>
          <w:rFonts w:ascii="Arial" w:hAnsi="Arial" w:cs="Arial"/>
          <w:color w:val="231f20"/>
        </w:rPr>
      </w:r>
      <w:r>
        <w:rPr>
          <w:rFonts w:ascii="Arial" w:hAnsi="Arial" w:cs="Arial"/>
          <w:color w:val="231f20"/>
        </w:rPr>
      </w:r>
    </w:p>
    <w:p>
      <w:pPr>
        <w:pStyle w:val="828"/>
        <w:pBdr/>
        <w:spacing/>
        <w:ind/>
        <w:rPr>
          <w:rFonts w:ascii="Arial" w:hAnsi="Arial" w:cs="Arial"/>
        </w:rPr>
      </w:pPr>
      <w:r>
        <w:rPr>
          <w:rFonts w:ascii="Arial" w:hAnsi="Arial" w:cs="Arial"/>
        </w:rPr>
      </w:r>
      <w:r>
        <w:rPr>
          <w:rFonts w:ascii="Arial" w:hAnsi="Arial" w:cs="Arial"/>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8"/>
        <w:pBdr/>
        <w:spacing w:line="240" w:lineRule="atLeast"/>
        <w:ind/>
        <w:rPr>
          <w:rFonts w:ascii="Arial" w:hAnsi="Arial" w:cs="Arial"/>
          <w:b/>
          <w:bCs/>
        </w:rPr>
      </w:pPr>
      <w:r>
        <w:rPr>
          <w:rFonts w:ascii="Arial" w:hAnsi="Arial" w:cs="Arial"/>
          <w:b/>
          <w:bCs/>
        </w:rPr>
      </w:r>
      <w:r>
        <w:rPr>
          <w:rFonts w:ascii="Arial" w:hAnsi="Arial" w:cs="Arial"/>
          <w:b/>
          <w:bCs/>
        </w:rPr>
      </w:r>
    </w:p>
    <w:p>
      <w:pPr>
        <w:pStyle w:val="829"/>
        <w:pBdr/>
        <w:spacing w:after="0" w:before="0"/>
        <w:ind/>
        <w:jc w:val="center"/>
        <w:rPr>
          <w:sz w:val="20"/>
          <w:szCs w:val="20"/>
          <w:lang w:val="pt-BR"/>
        </w:rPr>
      </w:pPr>
      <w:r>
        <w:rPr>
          <w:bCs w:val="0"/>
          <w:sz w:val="20"/>
          <w:szCs w:val="20"/>
          <w:lang w:val="pt-BR"/>
        </w:rPr>
        <w:t xml:space="preserve">ANEXO </w:t>
      </w:r>
      <w:r>
        <w:rPr>
          <w:bCs w:val="0"/>
          <w:sz w:val="20"/>
          <w:szCs w:val="20"/>
          <w:lang w:val="pt-BR"/>
        </w:rPr>
        <w:t xml:space="preserve">III</w:t>
      </w:r>
      <w:r>
        <w:rPr>
          <w:bCs w:val="0"/>
          <w:sz w:val="20"/>
          <w:szCs w:val="20"/>
          <w:lang w:val="pt-BR"/>
        </w:rPr>
        <w:t xml:space="preserve">: </w:t>
      </w:r>
      <w:r>
        <w:rPr>
          <w:bCs w:val="0"/>
          <w:sz w:val="20"/>
          <w:szCs w:val="20"/>
          <w:lang w:val="pt-BR"/>
        </w:rPr>
        <w:t xml:space="preserve">MINUTA DO CONTRATO.</w:t>
      </w:r>
      <w:r>
        <w:rPr>
          <w:sz w:val="20"/>
          <w:szCs w:val="20"/>
          <w:lang w:val="pt-BR"/>
        </w:rPr>
      </w:r>
      <w:r>
        <w:rPr>
          <w:sz w:val="20"/>
          <w:szCs w:val="20"/>
          <w:lang w:val="pt-BR"/>
        </w:rPr>
      </w:r>
    </w:p>
    <w:p>
      <w:pPr>
        <w:pStyle w:val="828"/>
        <w:pBdr/>
        <w:spacing/>
        <w:ind/>
        <w:jc w:val="both"/>
        <w:rPr>
          <w:rFonts w:ascii="Arial" w:hAnsi="Arial" w:eastAsia="SimSun" w:cs="Arial"/>
          <w:b/>
          <w:bCs/>
          <w:color w:val="231f20"/>
        </w:rPr>
      </w:pPr>
      <w:r>
        <w:rPr>
          <w:rFonts w:ascii="Arial" w:hAnsi="Arial" w:eastAsia="SimSun" w:cs="Arial"/>
          <w:b/>
          <w:bCs/>
          <w:color w:val="231f20"/>
        </w:rPr>
      </w:r>
      <w:r>
        <w:rPr>
          <w:rFonts w:ascii="Arial" w:hAnsi="Arial" w:eastAsia="SimSun" w:cs="Arial"/>
          <w:b/>
          <w:bCs/>
          <w:color w:val="231f20"/>
        </w:rPr>
      </w:r>
    </w:p>
    <w:p>
      <w:pPr>
        <w:pStyle w:val="828"/>
        <w:pBdr/>
        <w:spacing/>
        <w:ind/>
        <w:jc w:val="both"/>
        <w:rPr>
          <w:rFonts w:ascii="Arial" w:hAnsi="Arial" w:cs="Arial"/>
          <w:b/>
          <w:bCs/>
        </w:rPr>
      </w:pPr>
      <w:r>
        <w:rPr>
          <w:rFonts w:ascii="Arial" w:hAnsi="Arial" w:cs="Arial"/>
          <w:bCs/>
        </w:rPr>
        <w:t xml:space="preserve">CO</w:t>
      </w:r>
      <w:r>
        <w:rPr>
          <w:rFonts w:ascii="Arial" w:hAnsi="Arial" w:cs="Arial"/>
          <w:bCs/>
        </w:rPr>
        <w:t xml:space="preserve">NTRATO Nº </w:t>
      </w:r>
      <w:r>
        <w:rPr>
          <w:rFonts w:ascii="Arial" w:hAnsi="Arial" w:cs="Arial"/>
          <w:b/>
          <w:bCs/>
        </w:rPr>
        <w:t xml:space="preserve">XXX/XXXX</w:t>
      </w:r>
      <w:r>
        <w:rPr>
          <w:rFonts w:ascii="Arial" w:hAnsi="Arial" w:cs="Arial"/>
          <w:b/>
          <w:bCs/>
        </w:rPr>
      </w:r>
    </w:p>
    <w:p>
      <w:pPr>
        <w:pStyle w:val="828"/>
        <w:pBdr/>
        <w:spacing/>
        <w:ind/>
        <w:jc w:val="both"/>
        <w:rPr>
          <w:rFonts w:ascii="Arial" w:hAnsi="Arial" w:cs="Arial"/>
          <w:b/>
          <w:bCs/>
        </w:rPr>
      </w:pPr>
      <w:r>
        <w:rPr>
          <w:rFonts w:ascii="Arial" w:hAnsi="Arial" w:cs="Arial"/>
          <w:b/>
          <w:bCs/>
        </w:rPr>
      </w:r>
      <w:r>
        <w:rPr>
          <w:rFonts w:ascii="Arial" w:hAnsi="Arial" w:cs="Arial"/>
          <w:b/>
          <w:bCs/>
        </w:rPr>
      </w:r>
    </w:p>
    <w:p>
      <w:pPr>
        <w:pStyle w:val="828"/>
        <w:pBdr/>
        <w:spacing/>
        <w:ind/>
        <w:jc w:val="both"/>
        <w:rPr>
          <w:rFonts w:ascii="Arial" w:hAnsi="Arial" w:cs="Arial"/>
          <w:b/>
          <w:bCs/>
        </w:rPr>
      </w:pPr>
      <w:r>
        <w:rPr>
          <w:rFonts w:ascii="Arial" w:hAnsi="Arial" w:cs="Arial"/>
          <w:b/>
          <w:bCs/>
        </w:rPr>
      </w:r>
      <w:r>
        <w:rPr>
          <w:rFonts w:ascii="Arial" w:hAnsi="Arial" w:cs="Arial"/>
          <w:b/>
          <w:bCs/>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left="4536"/>
        <w:jc w:val="both"/>
        <w:rPr>
          <w:rFonts w:ascii="Arial" w:hAnsi="Arial" w:cs="Arial"/>
        </w:rPr>
      </w:pPr>
      <w:r>
        <w:rPr>
          <w:rFonts w:ascii="Arial" w:hAnsi="Arial" w:cs="Arial"/>
        </w:rPr>
        <w:t xml:space="preserve">CONTRATO QUE ENTRE SI CELEBRAM O </w:t>
      </w:r>
      <w:r>
        <w:rPr>
          <w:rFonts w:ascii="Arial" w:hAnsi="Arial" w:cs="Arial"/>
          <w:b/>
        </w:rPr>
        <w:t xml:space="preserve">MUNICIPIO DE RONDONÓPOLIS</w:t>
      </w:r>
      <w:r>
        <w:rPr>
          <w:rFonts w:ascii="Arial" w:hAnsi="Arial" w:cs="Arial"/>
        </w:rPr>
        <w:t xml:space="preserve">, E (O)A EMPRESA: </w:t>
      </w:r>
      <w:r>
        <w:rPr>
          <w:rFonts w:ascii="Arial" w:hAnsi="Arial" w:cs="Arial"/>
          <w:b/>
        </w:rPr>
        <w:t xml:space="preserve">XXXXX</w:t>
      </w:r>
      <w:r>
        <w:rPr>
          <w:rFonts w:ascii="Arial" w:hAnsi="Arial" w:cs="Arial"/>
        </w:rPr>
        <w:t xml:space="preserve"> ABAIXO QUALIFICADOS, PARA O FIM QUE NELE SE DECLARA.</w:t>
      </w:r>
      <w:r>
        <w:rPr>
          <w:rFonts w:ascii="Arial" w:hAnsi="Arial" w:cs="Arial"/>
        </w:rPr>
      </w:r>
    </w:p>
    <w:p>
      <w:pPr>
        <w:pStyle w:val="828"/>
        <w:pBdr/>
        <w:spacing/>
        <w:ind/>
        <w:jc w:val="both"/>
        <w:rPr>
          <w:rFonts w:ascii="Arial" w:hAnsi="Arial" w:cs="Arial"/>
          <w:bCs/>
        </w:rPr>
      </w:pPr>
      <w:r>
        <w:rPr>
          <w:rFonts w:ascii="Arial" w:hAnsi="Arial" w:cs="Arial"/>
          <w:bCs/>
        </w:rPr>
      </w:r>
      <w:r>
        <w:rPr>
          <w:rFonts w:ascii="Arial" w:hAnsi="Arial" w:cs="Arial"/>
          <w:bCs/>
        </w:rPr>
      </w:r>
    </w:p>
    <w:p>
      <w:pPr>
        <w:pStyle w:val="828"/>
        <w:pBdr/>
        <w:spacing/>
        <w:ind/>
        <w:jc w:val="both"/>
        <w:rPr>
          <w:rFonts w:ascii="Arial" w:hAnsi="Arial" w:cs="Arial"/>
          <w:bCs/>
        </w:rPr>
      </w:pPr>
      <w:r>
        <w:rPr>
          <w:rFonts w:ascii="Arial" w:hAnsi="Arial" w:cs="Arial"/>
          <w:bCs/>
        </w:rPr>
      </w:r>
      <w:r>
        <w:rPr>
          <w:rFonts w:ascii="Arial" w:hAnsi="Arial" w:cs="Arial"/>
          <w:bCs/>
        </w:rPr>
      </w:r>
    </w:p>
    <w:p>
      <w:pPr>
        <w:pStyle w:val="828"/>
        <w:pBdr/>
        <w:spacing/>
        <w:ind/>
        <w:jc w:val="both"/>
        <w:rPr>
          <w:rFonts w:ascii="Arial" w:hAnsi="Arial" w:cs="Arial"/>
          <w:bCs/>
        </w:rPr>
      </w:pPr>
      <w:r>
        <w:rPr>
          <w:rFonts w:ascii="Arial" w:hAnsi="Arial" w:cs="Arial"/>
          <w:bCs/>
        </w:rPr>
      </w:r>
      <w:r>
        <w:rPr>
          <w:rFonts w:ascii="Arial" w:hAnsi="Arial" w:cs="Arial"/>
          <w:bCs/>
        </w:rPr>
      </w:r>
    </w:p>
    <w:p>
      <w:pPr>
        <w:pStyle w:val="828"/>
        <w:pBdr/>
        <w:spacing/>
        <w:ind/>
        <w:jc w:val="both"/>
        <w:rPr>
          <w:rFonts w:ascii="Arial" w:hAnsi="Arial" w:cs="Arial"/>
          <w:b/>
          <w:bCs/>
        </w:rPr>
      </w:pPr>
      <w:r>
        <w:rPr>
          <w:rFonts w:ascii="Arial" w:hAnsi="Arial" w:cs="Arial"/>
          <w:b/>
          <w:bCs/>
        </w:rPr>
      </w:r>
      <w:r>
        <w:rPr>
          <w:rFonts w:ascii="Arial" w:hAnsi="Arial" w:cs="Arial"/>
          <w:b/>
          <w:bCs/>
        </w:rPr>
      </w:r>
    </w:p>
    <w:p>
      <w:pPr>
        <w:pStyle w:val="828"/>
        <w:pBdr/>
        <w:spacing/>
        <w:ind/>
        <w:jc w:val="both"/>
        <w:rPr>
          <w:rFonts w:ascii="Arial" w:hAnsi="Arial" w:cs="Arial"/>
          <w:b/>
          <w:bCs/>
        </w:rPr>
      </w:pPr>
      <w:r>
        <w:rPr>
          <w:rFonts w:ascii="Arial" w:hAnsi="Arial" w:cs="Arial"/>
          <w:b/>
          <w:bCs/>
        </w:rPr>
      </w:r>
      <w:r>
        <w:rPr>
          <w:rFonts w:ascii="Arial" w:hAnsi="Arial" w:cs="Arial"/>
          <w:b/>
          <w:bCs/>
        </w:rPr>
      </w:r>
    </w:p>
    <w:p>
      <w:pPr>
        <w:pStyle w:val="828"/>
        <w:pBdr/>
        <w:spacing/>
        <w:ind/>
        <w:jc w:val="both"/>
        <w:rPr>
          <w:rFonts w:ascii="Arial" w:hAnsi="Arial" w:cs="Arial"/>
          <w:b/>
          <w:bCs/>
        </w:rPr>
      </w:pPr>
      <w:r>
        <w:rPr>
          <w:rFonts w:ascii="Arial" w:hAnsi="Arial" w:cs="Arial"/>
          <w:b/>
          <w:bCs/>
        </w:rPr>
      </w:r>
      <w:r>
        <w:rPr>
          <w:rFonts w:ascii="Arial" w:hAnsi="Arial" w:cs="Arial"/>
          <w:b/>
          <w:bCs/>
        </w:rPr>
      </w:r>
    </w:p>
    <w:p>
      <w:pPr>
        <w:pStyle w:val="828"/>
        <w:pBdr/>
        <w:spacing/>
        <w:ind/>
        <w:jc w:val="both"/>
        <w:rPr>
          <w:rFonts w:ascii="Arial" w:hAnsi="Arial" w:cs="Arial"/>
        </w:rPr>
      </w:pPr>
      <w:r>
        <w:rPr>
          <w:rFonts w:ascii="Arial" w:hAnsi="Arial" w:cs="Arial"/>
          <w:b/>
          <w:bCs/>
        </w:rPr>
        <w:t xml:space="preserve">O MUNICÍPIO</w:t>
      </w:r>
      <w:r>
        <w:rPr>
          <w:rFonts w:ascii="Arial" w:hAnsi="Arial" w:cs="Arial"/>
          <w:b/>
        </w:rPr>
        <w:t xml:space="preserve"> DE RONDONÓPOLIS-MT.</w:t>
      </w:r>
      <w:r>
        <w:rPr>
          <w:rFonts w:ascii="Arial" w:hAnsi="Arial" w:cs="Arial"/>
        </w:rPr>
        <w:t xml:space="preserve">, pessoa jurídica de direito público, com sede na cidade de Rondonópolis, Estado de Mato Grosso, na Avenida Duque de Caxias n.º 1.000, Bairro: Vila Aurora, inscrita no CNPJ/MF. sob nº 03.347.101/0001-21, neste ato representado pelo Prefeito Municipal, Sr. </w:t>
      </w:r>
      <w:r>
        <w:rPr>
          <w:rFonts w:ascii="Arial" w:hAnsi="Arial" w:cs="Arial"/>
          <w:b/>
        </w:rPr>
        <w:t xml:space="preserve">xxxxxxxxxxxxxxxx</w:t>
      </w:r>
      <w:r>
        <w:rPr>
          <w:rFonts w:ascii="Arial" w:hAnsi="Arial" w:cs="Arial"/>
        </w:rPr>
        <w:t xml:space="preserve">, brasileiro, casado, xxxxxxxxxxxxx, portador </w:t>
      </w:r>
      <w:r>
        <w:rPr>
          <w:rFonts w:ascii="Arial" w:hAnsi="Arial" w:cs="Arial"/>
        </w:rPr>
        <w:t xml:space="preserve">do RG. n.º xxxxxx- SSP/xx, inscrito no CPF/MF. sob n.ºxxxxxxxxxxxxx, residente e domiciliado na cidade de Rondonópolis-MT., à Rua xxxxxxxxxxxx, Casa n.º xx, Quadra n.º xxx, Bairro xxxxxxx, doravante denominada simplesmente </w:t>
      </w:r>
      <w:r>
        <w:rPr>
          <w:rFonts w:ascii="Arial" w:hAnsi="Arial" w:cs="Arial"/>
          <w:b/>
        </w:rPr>
        <w:t xml:space="preserve">CONTRATANTE</w:t>
      </w:r>
      <w:r>
        <w:rPr>
          <w:rFonts w:ascii="Arial" w:hAnsi="Arial" w:cs="Arial"/>
        </w:rPr>
        <w:t xml:space="preserve">; e de outro lado, a empresa </w:t>
      </w:r>
      <w:r>
        <w:rPr>
          <w:rFonts w:ascii="Arial" w:hAnsi="Arial" w:cs="Arial"/>
          <w:b/>
        </w:rPr>
        <w:t xml:space="preserve">xxxxxxxxxxxx</w:t>
      </w:r>
      <w:r>
        <w:rPr>
          <w:rFonts w:ascii="Arial" w:hAnsi="Arial" w:cs="Arial"/>
        </w:rPr>
        <w:t xml:space="preserve">, inscrita no CNPJ/MF. sob nº xx.xxx.xxx/xxxx-xx, Inscrição Estadual nº xxx.xxx.xxx.xxx, com sede na cidade de xxxxxxxxxx, Estado de xxxxxxxxxx, à Rua xxxxxxxxxxxxx nº x.xxx, xxxxxxxx, neste ato representada pelo xxxxxxxx, Sr. </w:t>
      </w:r>
      <w:r>
        <w:rPr>
          <w:rFonts w:ascii="Arial" w:hAnsi="Arial" w:cs="Arial"/>
          <w:b/>
        </w:rPr>
        <w:t xml:space="preserve">xxxxxxxxx</w:t>
      </w:r>
      <w:r>
        <w:rPr>
          <w:rFonts w:ascii="Arial" w:hAnsi="Arial" w:cs="Arial"/>
        </w:rPr>
        <w:t xml:space="preserve">,</w:t>
      </w:r>
      <w:r>
        <w:rPr>
          <w:rFonts w:ascii="Arial" w:hAnsi="Arial" w:cs="Arial"/>
        </w:rPr>
        <w:t xml:space="preserve"> xxxxxxxxx, xxxxxxx, xxxxxxxxxx, portador do RG. nº x.xxx.xxx-x SSP/xx., inscrito no CPF/MF. sob nº xxx.xxx.xxx-xx, residente e domiciliado na cidade de xxxxxxxxx-xx., à Rua xxxxxxxxxxx nº xxx, xxxxxxxx, doravante denominada simplesmente </w:t>
      </w:r>
      <w:r>
        <w:rPr>
          <w:rFonts w:ascii="Arial" w:hAnsi="Arial" w:cs="Arial"/>
          <w:b/>
        </w:rPr>
        <w:t xml:space="preserve">CONTRATADA</w:t>
      </w:r>
      <w:r>
        <w:rPr>
          <w:rFonts w:ascii="Arial" w:hAnsi="Arial" w:cs="Arial"/>
        </w:rPr>
        <w:t xml:space="preserve">, tendo em vista o resultado final</w:t>
      </w:r>
      <w:r>
        <w:rPr>
          <w:rFonts w:ascii="Arial" w:hAnsi="Arial" w:cs="Arial"/>
        </w:rPr>
        <w:t xml:space="preserve"> do PREGÃO ELETRÔNICO nº.XX/2026</w:t>
      </w:r>
      <w:r>
        <w:rPr>
          <w:rFonts w:ascii="Arial" w:hAnsi="Arial" w:cs="Arial"/>
        </w:rPr>
        <w:t xml:space="preserve">, com fundamento na </w:t>
      </w:r>
      <w:r>
        <w:rPr>
          <w:rFonts w:ascii="Arial" w:hAnsi="Arial" w:cs="Arial"/>
          <w:color w:val="ff0000"/>
        </w:rPr>
        <w:t xml:space="preserve">Lei XXXXXXXX</w:t>
      </w:r>
      <w:r>
        <w:rPr>
          <w:rFonts w:ascii="Arial" w:hAnsi="Arial" w:cs="Arial"/>
        </w:rPr>
        <w:t xml:space="preserve">, e demais legislações correlatadas, resolvem celebrar o presente instrumento, mediante as cláusulas e condições a seguir:</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PRIMEIRA – DOCUMENTOS INTEGRANTE</w:t>
      </w:r>
      <w:r>
        <w:rPr>
          <w:rFonts w:ascii="Arial" w:hAnsi="Arial" w:cs="Arial"/>
          <w:b/>
        </w:rPr>
        <w:t xml:space="preserve">S DO CONTRATO</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numPr>
          <w:ilvl w:val="1"/>
          <w:numId w:val="2"/>
        </w:numPr>
        <w:pBdr/>
        <w:spacing/>
        <w:ind/>
        <w:jc w:val="both"/>
        <w:rPr>
          <w:rFonts w:ascii="Arial" w:hAnsi="Arial" w:cs="Arial"/>
        </w:rPr>
      </w:pPr>
      <w:r>
        <w:rPr>
          <w:rFonts w:ascii="Arial" w:hAnsi="Arial" w:cs="Arial"/>
        </w:rPr>
        <w:t xml:space="preserve">Edital e anexos do PREGÃO ELETRÔNICO nº </w:t>
      </w:r>
      <w:r>
        <w:rPr>
          <w:rFonts w:ascii="Arial" w:hAnsi="Arial" w:cs="Arial"/>
        </w:rPr>
        <w:t xml:space="preserve">22</w:t>
      </w:r>
      <w:r>
        <w:rPr>
          <w:rFonts w:ascii="Arial" w:hAnsi="Arial" w:cs="Arial"/>
        </w:rPr>
        <w:t xml:space="preserve">/2026</w:t>
      </w:r>
      <w:r>
        <w:rPr>
          <w:rFonts w:ascii="Arial" w:hAnsi="Arial" w:cs="Arial"/>
        </w:rPr>
        <w:t xml:space="preserve">;</w:t>
      </w:r>
      <w:r>
        <w:rPr>
          <w:rFonts w:ascii="Arial" w:hAnsi="Arial" w:cs="Arial"/>
        </w:rPr>
      </w:r>
    </w:p>
    <w:p>
      <w:pPr>
        <w:pStyle w:val="828"/>
        <w:pBdr/>
        <w:spacing/>
        <w:ind w:left="405"/>
        <w:jc w:val="both"/>
        <w:rPr>
          <w:rFonts w:ascii="Arial" w:hAnsi="Arial" w:cs="Arial"/>
        </w:rPr>
      </w:pPr>
      <w:r>
        <w:rPr>
          <w:rFonts w:ascii="Arial" w:hAnsi="Arial" w:cs="Arial"/>
        </w:rPr>
      </w:r>
      <w:r>
        <w:rPr>
          <w:rFonts w:ascii="Arial" w:hAnsi="Arial" w:cs="Arial"/>
        </w:rPr>
      </w:r>
    </w:p>
    <w:p>
      <w:pPr>
        <w:pStyle w:val="828"/>
        <w:numPr>
          <w:ilvl w:val="1"/>
          <w:numId w:val="2"/>
        </w:numPr>
        <w:pBdr/>
        <w:spacing/>
        <w:ind/>
        <w:jc w:val="both"/>
        <w:rPr>
          <w:rFonts w:ascii="Arial" w:hAnsi="Arial" w:cs="Arial"/>
        </w:rPr>
      </w:pPr>
      <w:r>
        <w:rPr>
          <w:rFonts w:ascii="Arial" w:hAnsi="Arial" w:cs="Arial"/>
        </w:rPr>
        <w:t xml:space="preserve">Termo de Referência nº XX/2026</w:t>
      </w:r>
      <w:r>
        <w:rPr>
          <w:rFonts w:ascii="Arial" w:hAnsi="Arial" w:cs="Arial"/>
        </w:rPr>
        <w:t xml:space="preserve">;</w:t>
      </w:r>
      <w:r>
        <w:rPr>
          <w:rFonts w:ascii="Arial" w:hAnsi="Arial" w:cs="Arial"/>
        </w:rPr>
      </w:r>
    </w:p>
    <w:p>
      <w:pPr>
        <w:pStyle w:val="981"/>
        <w:pBdr/>
        <w:spacing/>
        <w:ind/>
        <w:rPr>
          <w:rFonts w:ascii="Arial" w:hAnsi="Arial" w:cs="Arial"/>
          <w:sz w:val="20"/>
          <w:szCs w:val="20"/>
        </w:rPr>
      </w:pPr>
      <w:r>
        <w:rPr>
          <w:rFonts w:ascii="Arial" w:hAnsi="Arial" w:cs="Arial"/>
          <w:sz w:val="20"/>
          <w:szCs w:val="20"/>
        </w:rPr>
      </w:r>
      <w:r>
        <w:rPr>
          <w:rFonts w:ascii="Arial" w:hAnsi="Arial" w:cs="Arial"/>
          <w:sz w:val="20"/>
          <w:szCs w:val="20"/>
        </w:rPr>
      </w:r>
    </w:p>
    <w:p>
      <w:pPr>
        <w:pStyle w:val="828"/>
        <w:numPr>
          <w:ilvl w:val="1"/>
          <w:numId w:val="2"/>
        </w:numPr>
        <w:pBdr/>
        <w:spacing/>
        <w:ind/>
        <w:jc w:val="both"/>
        <w:rPr>
          <w:rFonts w:ascii="Arial" w:hAnsi="Arial" w:cs="Arial"/>
        </w:rPr>
      </w:pPr>
      <w:r>
        <w:rPr>
          <w:rFonts w:ascii="Arial" w:hAnsi="Arial" w:cs="Arial"/>
        </w:rPr>
        <w:t xml:space="preserve">Proposta de Preço readequada da CONTRATADA;</w:t>
      </w:r>
      <w:r>
        <w:rPr>
          <w:rFonts w:ascii="Arial" w:hAnsi="Arial" w:cs="Arial"/>
        </w:rPr>
      </w:r>
    </w:p>
    <w:p>
      <w:pPr>
        <w:pStyle w:val="981"/>
        <w:pBdr/>
        <w:spacing/>
        <w:ind/>
        <w:rPr>
          <w:rFonts w:ascii="Arial" w:hAnsi="Arial" w:cs="Arial"/>
          <w:sz w:val="20"/>
          <w:szCs w:val="20"/>
        </w:rPr>
      </w:pPr>
      <w:r>
        <w:rPr>
          <w:rFonts w:ascii="Arial" w:hAnsi="Arial" w:cs="Arial"/>
          <w:sz w:val="20"/>
          <w:szCs w:val="20"/>
        </w:rPr>
      </w:r>
      <w:r>
        <w:rPr>
          <w:rFonts w:ascii="Arial" w:hAnsi="Arial" w:cs="Arial"/>
          <w:sz w:val="20"/>
          <w:szCs w:val="20"/>
        </w:rPr>
      </w:r>
    </w:p>
    <w:p>
      <w:pPr>
        <w:pStyle w:val="828"/>
        <w:numPr>
          <w:ilvl w:val="1"/>
          <w:numId w:val="2"/>
        </w:numPr>
        <w:pBdr/>
        <w:spacing/>
        <w:ind/>
        <w:jc w:val="both"/>
        <w:rPr>
          <w:rFonts w:ascii="Arial" w:hAnsi="Arial" w:cs="Arial"/>
        </w:rPr>
      </w:pPr>
      <w:r>
        <w:rPr>
          <w:rFonts w:ascii="Arial" w:hAnsi="Arial" w:cs="Arial"/>
        </w:rPr>
        <w:t xml:space="preserve">Anexos dos documentos aqui listados;</w:t>
      </w:r>
      <w:r>
        <w:rPr>
          <w:rFonts w:ascii="Arial" w:hAnsi="Arial" w:cs="Arial"/>
        </w:rPr>
      </w:r>
    </w:p>
    <w:p>
      <w:pPr>
        <w:pStyle w:val="981"/>
        <w:pBdr/>
        <w:spacing/>
        <w:ind w:left="0"/>
        <w:rPr>
          <w:rFonts w:ascii="Arial" w:hAnsi="Arial" w:cs="Arial"/>
          <w:sz w:val="20"/>
          <w:szCs w:val="20"/>
        </w:rPr>
      </w:pPr>
      <w:r>
        <w:rPr>
          <w:rFonts w:ascii="Arial" w:hAnsi="Arial" w:cs="Arial"/>
          <w:sz w:val="20"/>
          <w:szCs w:val="20"/>
        </w:rPr>
      </w:r>
      <w:r>
        <w:rPr>
          <w:rFonts w:ascii="Arial" w:hAnsi="Arial" w:cs="Arial"/>
          <w:sz w:val="20"/>
          <w:szCs w:val="20"/>
        </w:rPr>
      </w:r>
    </w:p>
    <w:p>
      <w:pPr>
        <w:pStyle w:val="828"/>
        <w:pBdr/>
        <w:spacing/>
        <w:ind/>
        <w:jc w:val="both"/>
        <w:rPr>
          <w:rFonts w:ascii="Arial" w:hAnsi="Arial" w:cs="Arial"/>
        </w:rPr>
      </w:pPr>
      <w:r>
        <w:rPr>
          <w:rFonts w:ascii="Arial" w:hAnsi="Arial" w:cs="Arial"/>
          <w:b/>
        </w:rPr>
        <w:t xml:space="preserve">1.5.</w:t>
      </w:r>
      <w:r>
        <w:rPr>
          <w:rFonts w:ascii="Arial" w:hAnsi="Arial" w:cs="Arial"/>
        </w:rPr>
        <w:t xml:space="preserve"> Os documentos referidos acima são considerados suficientes para, em complemento a este instrumento contratual, definir a sua intenção e, desta forma, reger sua execução dentro do mais alto padrão da técnica atual.</w:t>
      </w:r>
      <w:r>
        <w:rPr>
          <w:rFonts w:ascii="Arial" w:hAnsi="Arial" w:cs="Arial"/>
        </w:rPr>
      </w:r>
    </w:p>
    <w:p>
      <w:pPr>
        <w:pStyle w:val="828"/>
        <w:pBdr/>
        <w:spacing/>
        <w:ind/>
        <w:rPr>
          <w:rFonts w:ascii="Arial" w:hAnsi="Arial" w:cs="Arial"/>
          <w:b/>
        </w:rPr>
      </w:pPr>
      <w:r>
        <w:rPr>
          <w:rFonts w:ascii="Arial" w:hAnsi="Arial" w:cs="Arial"/>
          <w:b/>
        </w:rPr>
      </w:r>
      <w:r>
        <w:rPr>
          <w:rFonts w:ascii="Arial" w:hAnsi="Arial" w:cs="Arial"/>
          <w:b/>
        </w:rPr>
      </w:r>
    </w:p>
    <w:p>
      <w:pPr>
        <w:pStyle w:val="828"/>
        <w:pBdr/>
        <w:spacing/>
        <w:ind/>
        <w:rPr>
          <w:rFonts w:ascii="Arial" w:hAnsi="Arial" w:cs="Arial"/>
          <w:b/>
        </w:rPr>
      </w:pPr>
      <w:r>
        <w:rPr>
          <w:rFonts w:ascii="Arial" w:hAnsi="Arial" w:cs="Arial"/>
          <w:b/>
        </w:rPr>
      </w:r>
      <w:r>
        <w:rPr>
          <w:rFonts w:ascii="Arial" w:hAnsi="Arial" w:cs="Arial"/>
          <w:b/>
        </w:rPr>
      </w:r>
    </w:p>
    <w:p>
      <w:pPr>
        <w:pStyle w:val="828"/>
        <w:pBdr/>
        <w:spacing/>
        <w:ind/>
        <w:rPr>
          <w:rFonts w:ascii="Arial" w:hAnsi="Arial" w:cs="Arial"/>
        </w:rPr>
      </w:pPr>
      <w:r>
        <w:rPr>
          <w:rFonts w:ascii="Arial" w:hAnsi="Arial" w:cs="Arial"/>
          <w:b/>
        </w:rPr>
        <w:t xml:space="preserve">CLÁUSULA SEGUNDA – DO OBJETO:</w:t>
      </w:r>
      <w:r>
        <w:rPr>
          <w:rFonts w:ascii="Arial" w:hAnsi="Arial" w:cs="Arial"/>
        </w:rPr>
      </w:r>
      <w:r>
        <w:rPr>
          <w:rFonts w:ascii="Arial" w:hAnsi="Arial" w:cs="Arial"/>
        </w:rPr>
      </w:r>
    </w:p>
    <w:p>
      <w:pPr>
        <w:pStyle w:val="828"/>
        <w:pBdr/>
        <w:spacing/>
        <w:ind/>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2.1. </w:t>
      </w:r>
      <w:r>
        <w:rPr>
          <w:rFonts w:ascii="Arial" w:hAnsi="Arial" w:cs="Arial"/>
        </w:rPr>
        <w:t xml:space="preserve">O presente contrato tem por objeto o </w:t>
      </w:r>
      <w:r>
        <w:rPr>
          <w:rFonts w:ascii="Arial" w:hAnsi="Arial" w:cs="Arial"/>
          <w:b/>
          <w:color w:val="000000"/>
        </w:rPr>
        <w:t xml:space="preserve">REGISTRO DE PREÇO PARA FUTURA E EVENT</w:t>
      </w:r>
      <w:r>
        <w:rPr>
          <w:rFonts w:ascii="Arial" w:hAnsi="Arial" w:cs="Arial"/>
          <w:b/>
          <w:color w:val="000000"/>
        </w:rPr>
        <w:t xml:space="preserve">UAL AQUISIÇÃO DE EQUIPAMENTOS, FERRAMENTAS E MATERIAIS DIVERSOS PARA MARCENARIA, destinados à estruturação e ao funcionamento da marcenaria da Secretaria Municipal de Saúde, vinculada ao Setor de Engenharia, para atender às atividades </w:t>
      </w:r>
      <w:r>
        <w:rPr>
          <w:rFonts w:ascii="Arial" w:hAnsi="Arial" w:cs="Arial"/>
          <w:b/>
          <w:color w:val="000000"/>
        </w:rPr>
        <w:t xml:space="preserve">de fabricação, montagem, manutenção, adaptação e reparo de móveis planejados e demais estruturas em madeira nas unidades da rede municipal de saúde, conforme condições, especificações, quantidades e exigências estabelecidas neste edital e todos seus anexos</w:t>
      </w:r>
      <w:r>
        <w:rPr>
          <w:rFonts w:ascii="Arial" w:hAnsi="Arial" w:cs="Arial"/>
        </w:rPr>
        <w:t xml:space="preserve">, </w:t>
      </w:r>
      <w:r>
        <w:rPr>
          <w:rFonts w:ascii="Arial" w:hAnsi="Arial" w:cs="Arial"/>
        </w:rPr>
        <w:t xml:space="preserve">na forma e qualidad</w:t>
      </w:r>
      <w:r>
        <w:rPr>
          <w:rFonts w:ascii="Arial" w:hAnsi="Arial" w:cs="Arial"/>
        </w:rPr>
        <w:t xml:space="preserve">e estabelecidas nos documentos constantes da CLÁÚSULA PRIMEIRA.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979"/>
        <w:pBdr/>
        <w:spacing/>
        <w:ind/>
        <w:jc w:val="both"/>
        <w:rPr>
          <w:rFonts w:eastAsia="Verdana"/>
          <w:sz w:val="20"/>
          <w:szCs w:val="20"/>
        </w:rPr>
      </w:pPr>
      <w:r>
        <w:rPr>
          <w:rFonts w:eastAsia="Verdana"/>
          <w:b/>
          <w:sz w:val="20"/>
          <w:szCs w:val="20"/>
        </w:rPr>
        <w:t xml:space="preserve">2.2.</w:t>
      </w:r>
      <w:r>
        <w:rPr>
          <w:rFonts w:eastAsia="Verdana"/>
          <w:sz w:val="20"/>
          <w:szCs w:val="20"/>
        </w:rPr>
        <w:t xml:space="preserve"> O material a ser contratado, quantidades, especificações e o valor estimado estão descrito no quadro abaixo:</w:t>
      </w:r>
      <w:r>
        <w:rPr>
          <w:rFonts w:eastAsia="Verdana"/>
          <w:sz w:val="20"/>
          <w:szCs w:val="20"/>
        </w:rPr>
      </w:r>
      <w:r>
        <w:rPr>
          <w:rFonts w:eastAsia="Verdana"/>
          <w:sz w:val="20"/>
          <w:szCs w:val="20"/>
        </w:rPr>
      </w:r>
    </w:p>
    <w:p>
      <w:pPr>
        <w:pStyle w:val="979"/>
        <w:pBdr/>
        <w:spacing/>
        <w:ind/>
        <w:jc w:val="both"/>
        <w:rPr>
          <w:rFonts w:eastAsia="Verdana"/>
          <w:sz w:val="20"/>
          <w:szCs w:val="20"/>
        </w:rPr>
      </w:pPr>
      <w:r>
        <w:rPr>
          <w:rFonts w:eastAsia="Verdana"/>
          <w:sz w:val="20"/>
          <w:szCs w:val="20"/>
        </w:rPr>
      </w:r>
      <w:r>
        <w:rPr>
          <w:rFonts w:eastAsia="Verdana"/>
          <w:sz w:val="20"/>
          <w:szCs w:val="20"/>
        </w:rPr>
      </w:r>
    </w:p>
    <w:p>
      <w:pPr>
        <w:pStyle w:val="979"/>
        <w:pBdr/>
        <w:spacing/>
        <w:ind/>
        <w:jc w:val="both"/>
        <w:rPr>
          <w:rFonts w:eastAsia="Verdana"/>
          <w:sz w:val="20"/>
          <w:szCs w:val="20"/>
        </w:rPr>
      </w:pPr>
      <w:r>
        <w:rPr>
          <w:rFonts w:eastAsia="Verdana"/>
          <w:sz w:val="20"/>
          <w:szCs w:val="20"/>
        </w:rPr>
      </w:r>
      <w:r>
        <w:rPr>
          <w:rFonts w:eastAsia="Verdana"/>
          <w:sz w:val="20"/>
          <w:szCs w:val="20"/>
        </w:rPr>
      </w:r>
    </w:p>
    <w:p>
      <w:pPr>
        <w:pStyle w:val="979"/>
        <w:pBdr/>
        <w:spacing/>
        <w:ind/>
        <w:jc w:val="both"/>
        <w:rPr>
          <w:rFonts w:eastAsia="Verdana"/>
          <w:sz w:val="20"/>
          <w:szCs w:val="20"/>
        </w:rPr>
      </w:pPr>
      <w:r>
        <w:rPr>
          <w:rFonts w:eastAsia="Verdana"/>
          <w:sz w:val="20"/>
          <w:szCs w:val="20"/>
        </w:rPr>
      </w:r>
      <w:r>
        <w:rPr>
          <w:rFonts w:eastAsia="Verdana"/>
          <w:sz w:val="20"/>
          <w:szCs w:val="20"/>
        </w:rPr>
      </w:r>
    </w:p>
    <w:p>
      <w:pPr>
        <w:pStyle w:val="979"/>
        <w:pBdr/>
        <w:spacing/>
        <w:ind/>
        <w:jc w:val="both"/>
        <w:rPr>
          <w:rFonts w:eastAsia="Verdana"/>
          <w:sz w:val="20"/>
          <w:szCs w:val="20"/>
        </w:rPr>
      </w:pPr>
      <w:r>
        <w:rPr>
          <w:rFonts w:eastAsia="Verdana"/>
          <w:sz w:val="20"/>
          <w:szCs w:val="20"/>
        </w:rPr>
      </w:r>
      <w:r>
        <w:rPr>
          <w:rFonts w:eastAsia="Verdana"/>
          <w:sz w:val="20"/>
          <w:szCs w:val="20"/>
        </w:rPr>
      </w:r>
    </w:p>
    <w:p>
      <w:pPr>
        <w:pStyle w:val="979"/>
        <w:pBdr/>
        <w:spacing/>
        <w:ind/>
        <w:jc w:val="both"/>
        <w:rPr>
          <w:rFonts w:eastAsia="Verdana"/>
          <w:sz w:val="20"/>
          <w:szCs w:val="20"/>
        </w:rPr>
      </w:pPr>
      <w:r>
        <w:rPr>
          <w:rFonts w:eastAsia="Verdana"/>
          <w:sz w:val="20"/>
          <w:szCs w:val="20"/>
        </w:rPr>
      </w:r>
      <w:r>
        <w:rPr>
          <w:rFonts w:eastAsia="Verdana"/>
          <w:sz w:val="20"/>
          <w:szCs w:val="20"/>
        </w:rPr>
      </w:r>
    </w:p>
    <w:tbl>
      <w:tblPr>
        <w:tblInd w:w="98" w:type="dxa"/>
        <w:tblW w:w="4954" w:type="pct"/>
        <w:tblCellMar>
          <w:left w:w="108" w:type="dxa"/>
          <w:top w:w="0" w:type="dxa"/>
          <w:right w:w="108" w:type="dxa"/>
          <w:bottom w:w="0" w:type="dxa"/>
        </w:tblCellMar>
        <w:tblBorders/>
        <w:tblLayout w:type="fixed"/>
        <w:tblLook w:val="04A0" w:firstRow="1" w:lastRow="0" w:firstColumn="1" w:lastColumn="0" w:noHBand="0" w:noVBand="1"/>
      </w:tblPr>
      <w:tblGrid>
        <w:gridCol w:w="590"/>
        <w:gridCol w:w="2734"/>
        <w:gridCol w:w="848"/>
        <w:gridCol w:w="501"/>
        <w:gridCol w:w="835"/>
        <w:gridCol w:w="836"/>
        <w:gridCol w:w="835"/>
        <w:gridCol w:w="898"/>
        <w:gridCol w:w="836"/>
        <w:gridCol w:w="947"/>
        <w:gridCol w:w="724"/>
      </w:tblGrid>
      <w:tr>
        <w:trPr>
          <w:trHeight w:val="480"/>
        </w:trPr>
        <w:tc>
          <w:tcPr>
            <w:shd w:val="clear" w:color="auto" w:fill="d9d9d9"/>
            <w:tcBorders>
              <w:top w:val="single" w:color="000000" w:sz="2" w:space="0"/>
              <w:left w:val="single" w:color="000000" w:sz="2" w:space="0"/>
              <w:bottom w:val="single" w:color="000000" w:sz="2" w:space="0"/>
              <w:right w:val="single" w:color="000000" w:sz="2" w:space="0"/>
            </w:tcBorders>
            <w:tcW w:w="582"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ITEM</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auto" w:sz="4" w:space="0"/>
              <w:right w:val="single" w:color="000000" w:sz="2" w:space="0"/>
            </w:tcBorders>
            <w:tcW w:w="2704"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DESCRIÇÃO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UND DE MEDIDA</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QT</w:t>
            </w:r>
            <w:r>
              <w:rPr>
                <w:rFonts w:eastAsia="Aptos Narrow"/>
                <w:b/>
                <w:bCs/>
                <w:color w:val="000000"/>
                <w:lang w:bidi="ar"/>
              </w:rPr>
              <w:t xml:space="preserve">D</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1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7"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2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3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88"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COTAÇÃO 4</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827" w:type="dxa"/>
            <w:vAlign w:val="center"/>
            <w:textDirection w:val="lrTb"/>
            <w:noWrap w:val="false"/>
          </w:tcPr>
          <w:p>
            <w:pPr>
              <w:pStyle w:val="828"/>
              <w:pBdr/>
              <w:spacing/>
              <w:ind/>
              <w:jc w:val="center"/>
              <w:rPr>
                <w:rFonts w:eastAsia="Aptos Narrow"/>
                <w:b/>
                <w:bCs/>
                <w:color w:val="000000"/>
                <w:lang w:val="en-US" w:bidi="ar"/>
              </w:rPr>
            </w:pPr>
            <w:r>
              <w:rPr>
                <w:rFonts w:eastAsia="Aptos Narrow"/>
                <w:b/>
                <w:bCs/>
                <w:color w:val="000000"/>
                <w:lang w:val="en-US" w:bidi="ar"/>
              </w:rPr>
              <w:t xml:space="preserve">COTAÇÃO </w:t>
            </w:r>
            <w:r>
              <w:rPr>
                <w:rFonts w:eastAsia="Aptos Narrow"/>
                <w:b/>
                <w:bCs/>
                <w:color w:val="000000"/>
                <w:lang w:val="en-US" w:bidi="ar"/>
              </w:rPr>
            </w:r>
          </w:p>
          <w:p>
            <w:pPr>
              <w:pStyle w:val="828"/>
              <w:pBdr/>
              <w:spacing/>
              <w:ind/>
              <w:jc w:val="center"/>
              <w:rPr>
                <w:rFonts w:eastAsia="Aptos Narrow"/>
                <w:b/>
                <w:bCs/>
                <w:color w:val="000000"/>
              </w:rPr>
            </w:pPr>
            <w:r>
              <w:rPr>
                <w:rFonts w:eastAsia="Aptos Narrow"/>
                <w:b/>
                <w:bCs/>
                <w:color w:val="000000"/>
                <w:lang w:val="en-US" w:bidi="ar"/>
              </w:rPr>
              <w:t xml:space="preserve">5</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937"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MEDIA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71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TOTAL</w:t>
            </w:r>
            <w:r>
              <w:rPr>
                <w:rFonts w:eastAsia="Aptos Narrow"/>
                <w:b/>
                <w:bCs/>
                <w:color w:val="000000"/>
              </w:rPr>
            </w:r>
            <w:r>
              <w:rPr>
                <w:rFonts w:eastAsia="Aptos Narrow"/>
                <w:b/>
                <w:bCs/>
                <w:color w:val="000000"/>
              </w:rPr>
            </w:r>
          </w:p>
        </w:tc>
      </w:tr>
      <w:tr>
        <w:trPr>
          <w:trHeight w:val="48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ADESIVO HOT MELT TERMOFUSÍVEL (COLA GRANULADA), EMBALAGEM COM 2,5 KG. COR BRANCA. COMPOSIÇÃO À BASE DE EVA (ETILENO-VINIL-ACETATO), RESINAS SINTÉTICAS E ADITIVOS. INDICADO PARA USO EM COLADEIRAS DE BORDA, COMPATÍVEL COM APLI</w:t>
            </w:r>
            <w:r>
              <w:rPr>
                <w:rFonts w:eastAsia="SimSun"/>
                <w:color w:val="000000"/>
                <w:lang w:bidi="ar"/>
              </w:rPr>
              <w:t xml:space="preserve">CAÇÃO EM BORDOS DE PVC, ABS, PAPEL, LÂMINAS DE MADEIRA E LAMINADOS MELAMÍNICOS, SOBRE MDF, MDP, AGLOMERADO, MADEIRA OU COMPENSADO. TEMPERATURA DE APLICAÇÃO COMPATÍVEL COM O EQUIPAMENTO DE BAIXA E MÉDIA VELOCIDADE.</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R$101,88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R$119,66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R$140,00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R$148,43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R$152,00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R$ 132,3940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2.647,88</w:t>
            </w:r>
            <w:r>
              <w:rPr>
                <w:rFonts w:eastAsia="Aptos Narrow"/>
                <w:color w:val="000000"/>
              </w:rPr>
            </w:r>
            <w:r>
              <w:rPr>
                <w:rFonts w:eastAsia="Aptos Narrow"/>
                <w:color w:val="000000"/>
              </w:rPr>
            </w:r>
          </w:p>
        </w:tc>
      </w:tr>
      <w:tr>
        <w:trPr>
          <w:trHeight w:val="437"/>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CANTONEIRA REFORÇADA DE METAL EM "L" COM CAPA PLÁSTICA BRANCA, MATERIAL METAL ZINCADO, COM 4 FUROS. MEDIDAS: 30MM X 30MM X 52MM (ALTURA X LARGURA X COMPRIMENTO).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R$1,35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R$2,05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R$2,10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w:t>
            </w:r>
            <w:r>
              <w:rPr>
                <w:rFonts w:eastAsia="SimSun"/>
                <w:color w:val="000000"/>
                <w:lang w:val="en-US" w:bidi="ar"/>
              </w:rPr>
              <w:t xml:space="preserve">1460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1.073,00</w:t>
            </w:r>
            <w:r>
              <w:rPr>
                <w:rFonts w:eastAsia="Aptos Narrow"/>
                <w:color w:val="000000"/>
              </w:rPr>
            </w:r>
            <w:r>
              <w:rPr>
                <w:rFonts w:eastAsia="Aptos Narrow"/>
                <w:color w:val="000000"/>
              </w:rPr>
            </w:r>
          </w:p>
        </w:tc>
      </w:tr>
      <w:tr>
        <w:trPr>
          <w:trHeight w:val="7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3</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CANTONEIRA TIPO L, MACIÇA, DIMENSÕES 13X13 MM, ACABAMENTO NIQUELADO. EMBALAGEM CONTENDO 100 UNIDADES. MATERIAL ZAMAC. COR NÍQUEL, COM 02 FUROS PARA FIXAÇÃO, CAPACIDADE DE CARGA: DEVE SUPORTAR NO MÍNIMO 25 KG.</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R$ 29,58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R$ 34,00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R$ 35,98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R$ 31,5920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4.738,80</w:t>
            </w:r>
            <w:r>
              <w:rPr>
                <w:rFonts w:eastAsia="Aptos Narrow"/>
                <w:color w:val="000000"/>
              </w:rPr>
            </w:r>
            <w:r>
              <w:rPr>
                <w:rFonts w:eastAsia="Aptos Narrow"/>
                <w:color w:val="000000"/>
              </w:rPr>
            </w:r>
          </w:p>
        </w:tc>
      </w:tr>
      <w:tr>
        <w:trPr>
          <w:trHeight w:val="9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4</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CHAPA DE COMPENSADO LAMINADO VIROLA TORNEADO, ESPESSURA 15MM, MEDIDAS: 2,20 X 1,60 METROS (COMPRIMENTO X LARGURA). LÂMINA DE REVESTIMENTO VIROLA, COMPOSIÇÃO DO MIOLO BAJÃO E REVESTIMENTO VIROLA. </w:t>
            </w:r>
            <w:r>
              <w:rPr>
                <w:rFonts w:eastAsia="SimSun"/>
                <w:color w:val="000000"/>
                <w:lang w:val="en-US" w:bidi="ar"/>
              </w:rPr>
              <w:t xml:space="preserve">EST</w:t>
            </w:r>
            <w:r>
              <w:rPr>
                <w:rFonts w:eastAsia="SimSun"/>
                <w:color w:val="000000"/>
                <w:lang w:val="en-US" w:bidi="ar"/>
              </w:rPr>
              <w:t xml:space="preserve">RUTURA COMPENSADO LAMINADO.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R$ 184,01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R$ 211,00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R$ 249,50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R$ 224,3020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13.458,12</w:t>
            </w:r>
            <w:r>
              <w:rPr>
                <w:rFonts w:eastAsia="Aptos Narrow"/>
                <w:color w:val="000000"/>
              </w:rPr>
            </w:r>
            <w:r>
              <w:rPr>
                <w:rFonts w:eastAsia="Aptos Narrow"/>
                <w:color w:val="000000"/>
              </w:rPr>
            </w:r>
          </w:p>
        </w:tc>
      </w:tr>
      <w:tr>
        <w:trPr>
          <w:trHeight w:val="792"/>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COLA DE CONTATO, EMBALAGEM CONTENDO NO MÍNIMO 2,8 QUILOS. ADESIVO DE CONTATO, COMPOSIÇÃO: BORRACHA DE POLICLOROPRENO, RESINAS SINTÉTICAS, SOLVENTES AROMÁTICOS E ALIFÁTICOS.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140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R$ 143,99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R$ 154,88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R$ 196,55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R$ 167,4840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23.447,76</w:t>
            </w:r>
            <w:r>
              <w:rPr>
                <w:rFonts w:eastAsia="Aptos Narrow"/>
                <w:color w:val="000000"/>
              </w:rPr>
            </w:r>
            <w:r>
              <w:rPr>
                <w:rFonts w:eastAsia="Aptos Narrow"/>
                <w:color w:val="000000"/>
              </w:rPr>
            </w:r>
          </w:p>
        </w:tc>
      </w:tr>
      <w:tr>
        <w:trPr>
          <w:trHeight w:val="68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COLA INSTANTÂNEA MARCENEIRO, EMBALAGEM 100 GRAMAS. ADESIVO INSTANTÂNEO MULTIÚSO, MÉDIA VISCOSIDADE, ALTA RESISTÊNCIA. COMPOSIÇÃO C</w:t>
            </w:r>
            <w:r>
              <w:rPr>
                <w:rFonts w:eastAsia="SimSun"/>
                <w:color w:val="000000"/>
                <w:lang w:bidi="ar"/>
              </w:rPr>
              <w:t xml:space="preserve">IANOACRILATO, COR TRANSPARENTE. EMBALAGEM COM BICO APLICADOR COM PINO METÁLICO. </w:t>
            </w:r>
            <w:r>
              <w:rPr>
                <w:rFonts w:eastAsia="SimSun"/>
                <w:color w:val="000000"/>
                <w:lang w:val="en-US" w:bidi="ar"/>
              </w:rPr>
              <w:t xml:space="preserve">APLICAÇÃO: MADEIRAS, MDF, COMPENSADOS, MDP, METAIS E PLÁSTICOS.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TUBO 100 GRAMA</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R$ 24,54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R$ 25,63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R$ 27,50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R$ 24,4340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8.307,56</w:t>
            </w:r>
            <w:r>
              <w:rPr>
                <w:rFonts w:eastAsia="Aptos Narrow"/>
                <w:color w:val="000000"/>
              </w:rPr>
            </w:r>
            <w:r>
              <w:rPr>
                <w:rFonts w:eastAsia="Aptos Narrow"/>
                <w:color w:val="000000"/>
              </w:rPr>
            </w:r>
          </w:p>
        </w:tc>
      </w:tr>
      <w:tr>
        <w:trPr>
          <w:trHeight w:val="9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7</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COLADEIRA DE BORDA PO</w:t>
            </w:r>
            <w:r>
              <w:rPr>
                <w:rFonts w:eastAsia="SimSun"/>
                <w:color w:val="000000"/>
                <w:lang w:bidi="ar"/>
              </w:rPr>
              <w:t xml:space="preserve">RTÁTIL / MÓVEL. EQUIPAMENTO ADEQUADO PARA COLAGEM DE FITAS DE BORDA EM PVC, ABS, PAPEL E MADEIRA, SEM ADESIVO PRÉ-APLICADO, PARA USO EM PEÇAS EXCLUSIVAMENTE RETAS. DEVE PERMITIR O USO DE FITAS COM: ESPESSURA MÍNIMA DE 0,3 MM E MÁXIMA DE 2,0 MM; LARGURA MÍN</w:t>
            </w:r>
            <w:r>
              <w:rPr>
                <w:rFonts w:eastAsia="SimSun"/>
                <w:color w:val="000000"/>
                <w:lang w:bidi="ar"/>
              </w:rPr>
              <w:t xml:space="preserve">IMA DE 10 MM E MÁXIMA DE 80 MM. O EQUIPAMENTO DEVERÁ POSSUIR: DESTOPADOR MANUAL PARA CORTE DAS FITAS RENTE À BORDA DA PEÇA, NÃO SENDO EXIGIDO SISTEMA PNEUMÁTICO; CONTROLADOR DIGITAL DE TEMPERATURA, COM FAIXA DE AJUSTE ENTRE 120 °C E 220 °C; VELOCIDADE DE A</w:t>
            </w:r>
            <w:r>
              <w:rPr>
                <w:rFonts w:eastAsia="SimSun"/>
                <w:color w:val="000000"/>
                <w:lang w:bidi="ar"/>
              </w:rPr>
              <w:t xml:space="preserve">VANÇO MÍNIMA DE 5,5 M/MIN; POTÊNCIA MÍNIMA DA RESISTÊNCIA DE 1.500 W. ALIMENTAÇÃO ELÉTRICA: 220 V MONOFÁSICA OU BIVOLT. O EQUIPAMENTO DEVERÁ SER NOVO, ORIGINAL DE FÁBRICA, ACOMPANHADO DE MANUAL EM LÍNGUA PORTUGUESA E POSSUIR GARANTIA MÍNIMA DO FABRICANTE D</w:t>
            </w:r>
            <w:r>
              <w:rPr>
                <w:rFonts w:eastAsia="SimSun"/>
                <w:color w:val="000000"/>
                <w:lang w:bidi="ar"/>
              </w:rPr>
              <w:t xml:space="preserve">E 12 (DOZE) MESES.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R$ 6.990,00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R$ 8.665,22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R$ 9.860,60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R$ 9.912,54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17.800,00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R$ 10.645,6720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10.645,67</w:t>
            </w:r>
            <w:r>
              <w:rPr>
                <w:rFonts w:eastAsia="Aptos Narrow"/>
                <w:color w:val="000000"/>
              </w:rPr>
            </w:r>
            <w:r>
              <w:rPr>
                <w:rFonts w:eastAsia="Aptos Narrow"/>
                <w:color w:val="000000"/>
              </w:rPr>
            </w:r>
          </w:p>
        </w:tc>
      </w:tr>
      <w:tr>
        <w:trPr>
          <w:trHeight w:val="13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8</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COLETOR DE PÓ INDUSTRIAL PARA MARCENARIA, DESTINADO À ASPIRAÇÃO DE RESÍDUOS SÓLIDOS (PÓ E CAVACOS DE MADEIRA). EQUIPADO COM MOTOR ELÉTRIC</w:t>
            </w:r>
            <w:r>
              <w:rPr>
                <w:rFonts w:eastAsia="SimSun"/>
                <w:color w:val="000000"/>
                <w:lang w:bidi="ar"/>
              </w:rPr>
              <w:t xml:space="preserve">O DE POTÊNCIA MÍNIMA DE 2 CV, 2 POLOS, MONOFÁSICO OU TRIFÁSICO, ADEQUADO PARA USO CONTÍNUO. DEVE POSSUIR, NO MÍNIMO: ALTURA APROXIMADA MÍNIMA DE 2.000 MM; VAZÃO MÍNIMA DE 28 M³/MIN; PRESSÃO ESTÁTICA MÁXIMA MÍNIMA DE 270 MMCA; DUAS BOCAS DE ENTRADA, COM DIÂ</w:t>
            </w:r>
            <w:r>
              <w:rPr>
                <w:rFonts w:eastAsia="SimSun"/>
                <w:color w:val="000000"/>
                <w:lang w:bidi="ar"/>
              </w:rPr>
              <w:t xml:space="preserve">METRO NOMINAL DE 100 MM CADA; CAPACIDADE MÍNIMA DO RESERVATÓRIO DE 0,15 M³ (150 LITROS); SISTEMA DE COLETA COM RESERVATÓRIO INFERIOR E</w:t>
            </w:r>
            <w:r>
              <w:rPr>
                <w:rFonts w:eastAsia="SimSun"/>
                <w:color w:val="000000"/>
                <w:lang w:bidi="ar"/>
              </w:rPr>
              <w:t xml:space="preserve">M SACO DE PANO COLETOR E SACO FILTRANTE EM TECIDO, OU SISTEMA EQUIVALENTE, ADEQUADO À RETENÇÃO DE PÓ. O EQUIPAMENTO DEVERÁ SER NOVO, ORIGINAL DE FÁBRICA, ACOMPANHADO DE MANUAL EM LÍNGUA PORTUGUESA E POSSUIR GARANTIA MÍNIMA DO FABRICANTE DE 12 (DOZE) MESES.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R$ 3.850,00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R$ 4.581,29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R$ 4.644,40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R$ 5.980,64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R$ 8.221,00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R$ 5.455,4660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5.455,47</w:t>
            </w:r>
            <w:r>
              <w:rPr>
                <w:rFonts w:eastAsia="Aptos Narrow"/>
                <w:color w:val="000000"/>
              </w:rPr>
            </w:r>
            <w:r>
              <w:rPr>
                <w:rFonts w:eastAsia="Aptos Narrow"/>
                <w:color w:val="000000"/>
              </w:rPr>
            </w:r>
          </w:p>
        </w:tc>
      </w:tr>
      <w:tr>
        <w:trPr>
          <w:trHeight w:val="9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9</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COMPRESSOR DE AR ALTE</w:t>
            </w:r>
            <w:r>
              <w:rPr>
                <w:rFonts w:eastAsia="SimSun"/>
                <w:color w:val="000000"/>
                <w:lang w:bidi="ar"/>
              </w:rPr>
              <w:t xml:space="preserve">RNATIVO LUBRIFICADO, COM RESERVATÓRIO HORIZONTAL DE CAPACIDADE MÍNIMA DE 110 LITROS. EQUIPADO COM: MOTOR ELÉTRICO MONOFÁSICO, COM POTÊNCIA DE NO MÍNIMO 2CV (1,49 KW), DOTADO DE PROTETOR TÉRMICO; PRESSÃO MÁXIMA DE TRABALHO MÍNIMA DE 9,6 BAR; TRANSMISSÃO POR</w:t>
            </w:r>
            <w:r>
              <w:rPr>
                <w:rFonts w:eastAsia="SimSun"/>
                <w:color w:val="000000"/>
                <w:lang w:bidi="ar"/>
              </w:rPr>
              <w:t xml:space="preserve"> CORREIA; BLOCO COMPRESSOR EM FERRO FUNDIDO, COM SISTEMA DE TRABALHO EM V; SISTEMA DE LUBRIFICAÇÃO A ÓLEO. DEVERÁ CONTER, NO MÍNIMO: VÁLVULA DE RETENÇÃO; DRENO (VÁLVULA PURGADORA); PRESSOSTATO; MANÔMETRO; VÁLVULA DE SEGURANÇA; FILTROS DE AR; SERPENTINA ALE</w:t>
            </w:r>
            <w:r>
              <w:rPr>
                <w:rFonts w:eastAsia="SimSun"/>
                <w:color w:val="000000"/>
                <w:lang w:bidi="ar"/>
              </w:rPr>
              <w:t xml:space="preserve">TADA; REGISTRO DE SAÍDA DE AR; S</w:t>
            </w:r>
            <w:r>
              <w:rPr>
                <w:rFonts w:eastAsia="SimSun"/>
                <w:color w:val="000000"/>
                <w:lang w:bidi="ar"/>
              </w:rPr>
              <w:t xml:space="preserve">ISTEMA DE PROTEÇÃO DUPLA NAS PARTES GIRANTES. O EQUIPAMENTO DEVERÁ SER FORNECIDO COM: PRONTUÁRIO DE VASO DE PRESSÃO;  FICHA DE MANUTENÇÃO E TROCA DE ÓLEO; MANUAL DE INSTRUÇÕES EM PORTUGUÊS E CERTIFICADO DE GARANTIA, COM GARANTIA MÍNIMA DE 12 (DOZE) MESES. </w:t>
            </w:r>
            <w:r>
              <w:rPr>
                <w:rFonts w:eastAsia="SimSun"/>
                <w:color w:val="000000"/>
                <w:lang w:val="en-US" w:bidi="ar"/>
              </w:rPr>
              <w:t xml:space="preserve">ALIMENTAÇÃO ELÉTRICA 110/220 V OU BIVOLT.</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R$ 2.566,81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R$ 2.832,38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R$ 3.478,75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R$ 3.595,64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R$ 3.054,7160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3.054,72</w:t>
            </w:r>
            <w:r>
              <w:rPr>
                <w:rFonts w:eastAsia="Aptos Narrow"/>
                <w:color w:val="000000"/>
              </w:rPr>
            </w:r>
            <w:r>
              <w:rPr>
                <w:rFonts w:eastAsia="Aptos Narrow"/>
                <w:color w:val="000000"/>
              </w:rPr>
            </w:r>
          </w:p>
        </w:tc>
      </w:tr>
      <w:tr>
        <w:trPr>
          <w:trHeight w:val="13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10</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CORREDIÇA TELESCÓPICA, COMPRIMENTO NOMINAL DE 350MM. EMBALAGEM CONTENDO 1 PAR. CO</w:t>
            </w:r>
            <w:r>
              <w:rPr>
                <w:rFonts w:eastAsia="SimSun"/>
                <w:color w:val="000000"/>
                <w:lang w:bidi="ar"/>
              </w:rPr>
              <w:t xml:space="preserve">NFECCIONADA EM AÇO, COM ACABAMENTO ZINCADO, DE ASPECTO ACETINADO NA COR PRATA. SISTEMA TELESCÓPICO COM ABERTURA TOTAL. CAPACIDADE MÍNIMA DE CARGA DE 30 KG POR PAR.</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R$ 41,46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R$ 19,6900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7.088,40</w:t>
            </w:r>
            <w:r>
              <w:rPr>
                <w:rFonts w:eastAsia="Aptos Narrow"/>
                <w:color w:val="000000"/>
              </w:rPr>
            </w:r>
            <w:r>
              <w:rPr>
                <w:rFonts w:eastAsia="Aptos Narrow"/>
                <w:color w:val="000000"/>
              </w:rPr>
            </w:r>
          </w:p>
        </w:tc>
      </w:tr>
      <w:tr>
        <w:trPr>
          <w:trHeight w:val="7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11</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CORREDIÇ</w:t>
            </w:r>
            <w:r>
              <w:rPr>
                <w:rFonts w:eastAsia="SimSun"/>
                <w:color w:val="000000"/>
                <w:lang w:bidi="ar"/>
              </w:rPr>
              <w:t xml:space="preserve">A TELESCÓPICA, COMPRIMENTO NOMINAL DE 400MM. EMBALAGEM CONTENDO 1 PAR. CONFECCIONADA EM AÇO, COM ACABAMENTO ZINCADO, COR PRATA. DESTINADA A  FIXAÇÃO LATERAL, ALTURA APROXIMADA DE 42 MM, COMPATÍVEL COM CORREDIÇA TELESCÓPICA LATERAL DE 400 MM. CAPACIDADE MÍN</w:t>
            </w:r>
            <w:r>
              <w:rPr>
                <w:rFonts w:eastAsia="SimSun"/>
                <w:color w:val="000000"/>
                <w:lang w:bidi="ar"/>
              </w:rPr>
              <w:t xml:space="preserve">IMA DE CARGA DE 30 KG POR PAR. DISPOSITIVO DE RETENÇÃO NA POSIÇÃO FECHADA, POR BORRACHA, BATENTE OU SISTEMA EQUIVALENTE, GARANTINDO A PERMANÊNCIA DA GAVETA FECHADA.</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R$ 10,51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R$ 26,00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18.700,00</w:t>
            </w:r>
            <w:r>
              <w:rPr>
                <w:rFonts w:eastAsia="Aptos Narrow"/>
                <w:color w:val="000000"/>
              </w:rPr>
            </w:r>
            <w:r>
              <w:rPr>
                <w:rFonts w:eastAsia="Aptos Narrow"/>
                <w:color w:val="000000"/>
              </w:rPr>
            </w:r>
          </w:p>
        </w:tc>
      </w:tr>
      <w:tr>
        <w:trPr>
          <w:trHeight w:val="562"/>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12</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DOBR</w:t>
            </w:r>
            <w:r>
              <w:rPr>
                <w:rFonts w:eastAsia="SimSun"/>
                <w:color w:val="000000"/>
                <w:lang w:bidi="ar"/>
              </w:rPr>
              <w:t xml:space="preserve">ADIÇA CURVA (OU ALTA) PARA MÓVEIS, COM SISTEMA DE AMORTECIMENTO (SLOW MOTION) EMBUTIDO NO BRAÇO. DIÂMETRO DO CANECO: 35MM. CALÇO: H2 (ALTURA 2MM) COM SISTEMA DE FIXAÇÃO SLIDE-ON. TIPO DE FECHAMENTO: PRESSÃO/AUTOMÁTICO. MATERIAL: AÇO. ACABAMENTO: NIQUELADO </w:t>
            </w:r>
            <w:r>
              <w:rPr>
                <w:rFonts w:eastAsia="SimSun"/>
                <w:color w:val="000000"/>
                <w:lang w:bidi="ar"/>
              </w:rPr>
              <w:t xml:space="preserve">(CROMADO). COMPATÍVEL COM ESPESSURA DE PORTA DE 16MM A 26MM. ÂNGULO DE ABERTURA: 105° OU SUPERIOR.</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R$ 5,98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R$ 6,45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R$ 6,61 </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R$ 6,72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R$ 6,79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6.510,00</w:t>
            </w:r>
            <w:r>
              <w:rPr>
                <w:rFonts w:eastAsia="Aptos Narrow"/>
                <w:color w:val="000000"/>
              </w:rPr>
            </w:r>
            <w:r>
              <w:rPr>
                <w:rFonts w:eastAsia="Aptos Narrow"/>
                <w:color w:val="000000"/>
              </w:rPr>
            </w:r>
          </w:p>
        </w:tc>
      </w:tr>
      <w:tr>
        <w:trPr>
          <w:trHeight w:val="607"/>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13</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ESQUADREJADEIRA COM EIXO INCLINÁVEL  - MOTOR MONOFÁSICO DE NO MÍNIMO 3 CV – </w:t>
            </w:r>
            <w:r>
              <w:rPr>
                <w:rFonts w:eastAsia="SimSun"/>
                <w:color w:val="000000"/>
                <w:lang w:bidi="ar"/>
              </w:rPr>
              <w:t xml:space="preserve">2 POLOS (PADRÃO); DIMENSÕES MÍNIMAS DA MESA MÓVEL DE 1300X 850 MM; CAPACIDADE DE CORTE DE NO MÍNIMO 3.000 MM; DIMENSÕES MÍNIMAS DA MESA FIXA DE 810X 600 MM; DIÂMETRO MÁXIMO DA SERRA 350 MM; INCLINAÇÃO 45°; LARGURA DE CORTE DA MESA FIXA 1.030 MM; COMPRIMENT</w:t>
            </w:r>
            <w:r>
              <w:rPr>
                <w:rFonts w:eastAsia="SimSun"/>
                <w:color w:val="000000"/>
                <w:lang w:bidi="ar"/>
              </w:rPr>
              <w:t xml:space="preserve">O DA GUIA EM ALUMÍNIO DE NO MÍNIMO 2.580 MM; ALTURA MÁXIMA DE CORTE 90º DE NO MÍNIMO 80 MM; ALTURA MÁXIMA DE CORTE 45° DE NO MÍNIMO 70 MM; PROLONGADOR DA MESA FIXA  DE NO MÍNIMO 550 MM.</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R$ 16.908,34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18.220,33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R$ 19.331,10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R$ 27.300,00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42.500,01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R$ 24.851,9560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24.851,96</w:t>
            </w:r>
            <w:r>
              <w:rPr>
                <w:rFonts w:eastAsia="Aptos Narrow"/>
                <w:color w:val="000000"/>
              </w:rPr>
            </w:r>
            <w:r>
              <w:rPr>
                <w:rFonts w:eastAsia="Aptos Narrow"/>
                <w:color w:val="000000"/>
              </w:rPr>
            </w:r>
          </w:p>
        </w:tc>
      </w:tr>
      <w:tr>
        <w:trPr>
          <w:trHeight w:val="62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14</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FECHADURA PARA GAVETA, MEDIDAS: 32X17MM. MATERIAL AÇO / ZAMAK, COR PRATA, ACABAMENTO NIQUELADO. TIPO DE CHAVE FIXA COM ACABAMENTO EM PLÁSTICO POLIDO. ROTAÇÃO DA CHAVE 180º.</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R$ 13,85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R$ 18,00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w:t>
            </w:r>
            <w:r>
              <w:rPr>
                <w:rFonts w:eastAsia="SimSun"/>
                <w:color w:val="000000"/>
                <w:lang w:val="en-US" w:bidi="ar"/>
              </w:rPr>
              <w:t xml:space="preserve">22,00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R$ 17,6100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8.805,00</w:t>
            </w:r>
            <w:r>
              <w:rPr>
                <w:rFonts w:eastAsia="Aptos Narrow"/>
                <w:color w:val="000000"/>
              </w:rPr>
            </w:r>
            <w:r>
              <w:rPr>
                <w:rFonts w:eastAsia="Aptos Narrow"/>
                <w:color w:val="000000"/>
              </w:rPr>
            </w:r>
          </w:p>
        </w:tc>
      </w:tr>
      <w:tr>
        <w:trPr>
          <w:trHeight w:val="283"/>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15</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0,40 MM. ROLO MEDIDAS: 22MM X 300M. </w:t>
            </w:r>
            <w:r>
              <w:rPr>
                <w:rFonts w:eastAsia="SimSun"/>
                <w:color w:val="000000"/>
                <w:lang w:val="en-US" w:bidi="ar"/>
              </w:rPr>
              <w:t xml:space="preserve">COR BRANCO,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70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R$ 90,18</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R$ 116,00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R$ 130,4360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9.130,52</w:t>
            </w:r>
            <w:r>
              <w:rPr>
                <w:rFonts w:eastAsia="Aptos Narrow"/>
                <w:color w:val="000000"/>
              </w:rPr>
            </w:r>
            <w:r>
              <w:rPr>
                <w:rFonts w:eastAsia="Aptos Narrow"/>
                <w:color w:val="000000"/>
              </w:rPr>
            </w:r>
          </w:p>
        </w:tc>
      </w:tr>
      <w:tr>
        <w:trPr>
          <w:trHeight w:val="43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16</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0,40 MM. ROLO MEDIDAS: 65MM X 20M. </w:t>
            </w:r>
            <w:r>
              <w:rPr>
                <w:rFonts w:eastAsia="SimSun"/>
                <w:color w:val="000000"/>
                <w:lang w:val="en-US" w:bidi="ar"/>
              </w:rPr>
              <w:t xml:space="preserve">COR BRANCO,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R$ 46,67</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R$ 70,99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R$ 88,03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R$ 53,6380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16.091,40</w:t>
            </w:r>
            <w:r>
              <w:rPr>
                <w:rFonts w:eastAsia="Aptos Narrow"/>
                <w:color w:val="000000"/>
              </w:rPr>
            </w:r>
            <w:r>
              <w:rPr>
                <w:rFonts w:eastAsia="Aptos Narrow"/>
                <w:color w:val="000000"/>
              </w:rPr>
            </w:r>
          </w:p>
        </w:tc>
      </w:tr>
      <w:tr>
        <w:trPr>
          <w:trHeight w:val="8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17</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0,45 MM. ROLO MEDIDAS: 22MM X 20MT. COR PADRÃO TONALIDADE MARROM</w:t>
            </w:r>
            <w:r>
              <w:rPr>
                <w:rFonts w:eastAsia="SimSun"/>
                <w:color w:val="000000"/>
                <w:lang w:bidi="ar"/>
              </w:rPr>
              <w:t xml:space="preserve"> DOURADO,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480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R$ 49,94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R$ 59,1880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28.410,24</w:t>
            </w:r>
            <w:r>
              <w:rPr>
                <w:rFonts w:eastAsia="Aptos Narrow"/>
                <w:color w:val="000000"/>
              </w:rPr>
            </w:r>
            <w:r>
              <w:rPr>
                <w:rFonts w:eastAsia="Aptos Narrow"/>
                <w:color w:val="000000"/>
              </w:rPr>
            </w:r>
          </w:p>
        </w:tc>
      </w:tr>
      <w:tr>
        <w:trPr>
          <w:trHeight w:val="8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FURADEIRA DE BANCADA COM AJUSTE DE ALTURA, MOTOR COM POTÊNCIA DE NO MÍNIMO 1/2 HP; ROTAÇÃO 1.740 RPM / 60HZ; MANDRIL DE 5/8 POLEG</w:t>
            </w:r>
            <w:r>
              <w:rPr>
                <w:rFonts w:eastAsia="SimSun"/>
                <w:color w:val="000000"/>
                <w:lang w:bidi="ar"/>
              </w:rPr>
              <w:t xml:space="preserve">ADAS, CAPACIDADE DE PERFURAÇÃO DE 16 MM E PROFUNDIDADE DE 110MM OU SUPERIOR. DIMENSÕES DA MESA DE NO MÍNIMO: 200 X 190 MM, VOLTAGEM TRIFÁSICO. DESIGN ERGONÔMICO. NA EMBALAGEM DEVERÁ TER IDENTIFICAÇÃO DO FABRICANTE, CARACTERÍSTICAS DO PRODUTO E ACESSÓRIOS. </w:t>
            </w:r>
            <w:r>
              <w:rPr>
                <w:rFonts w:eastAsia="SimSun"/>
                <w:color w:val="000000"/>
                <w:lang w:val="en-US" w:bidi="ar"/>
              </w:rPr>
              <w:t xml:space="preserve">GARANT</w:t>
            </w:r>
            <w:r>
              <w:rPr>
                <w:rFonts w:eastAsia="SimSun"/>
                <w:color w:val="000000"/>
                <w:lang w:val="en-US" w:bidi="ar"/>
              </w:rPr>
              <w:t xml:space="preserve">IA MINIMA DE 12 MESES DO FABRICANTE.</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R$ 1.435,50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R$ 1.465,00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R$ 1.508,00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R$ 1.547,00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R$ 1.659,00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R$ 1.522,9000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1.522,90</w:t>
            </w:r>
            <w:r>
              <w:rPr>
                <w:rFonts w:eastAsia="Aptos Narrow"/>
                <w:color w:val="000000"/>
              </w:rPr>
            </w:r>
            <w:r>
              <w:rPr>
                <w:rFonts w:eastAsia="Aptos Narrow"/>
                <w:color w:val="000000"/>
              </w:rPr>
            </w:r>
          </w:p>
        </w:tc>
      </w:tr>
      <w:tr>
        <w:trPr>
          <w:trHeight w:val="78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19</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FURADEIRA E PARAFUSADEIRA DE IMPACTO A BATERIA, TENSÃO DA BATERIA DE 20V MAX (18V NOMINAL) OU EQUIVALENTE; TORQUE MÁXI</w:t>
            </w:r>
            <w:r>
              <w:rPr>
                <w:rFonts w:eastAsia="SimSun"/>
                <w:color w:val="000000"/>
                <w:lang w:bidi="ar"/>
              </w:rPr>
              <w:t xml:space="preserve">MO MÍNIMO DE 60 NM; VELOCIDADE SEM CARGA: 0-600 / 0-2.000 RPM; IMPACTOS POR MINUTO: 0-10.200 / 0-34.000 IPM; MADRIL DE APERTO RÁPIDO: 1/2" (13MM). FUNÇÕES: PARAFUSADEIRA, FURADEIRA E FURADEIRA COM IMPACTO; NÚMERO DE VELOCIDADE MECÂNICAS: 2. CAPACIDADES MÁX</w:t>
            </w:r>
            <w:r>
              <w:rPr>
                <w:rFonts w:eastAsia="SimSun"/>
                <w:color w:val="000000"/>
                <w:lang w:bidi="ar"/>
              </w:rPr>
              <w:t xml:space="preserve">IMAS APROPRIADAS DE PERFURAÇÃO: MADEIRA 38MM; AÇO 13MM; ALVENARIA 13MM.  ITENS INCLUSOS NO KIT: 2 BATERIAS 20V MAX E 18V NOMINAL; 1 CARREGADOR COMPATÍVEL; 1 MALETA PLÁSTICA PARA TRANSPORTE; MANUAL DE INSTRUÇÕES EM LÍNGUA PORTUGUESA. </w:t>
            </w:r>
            <w:r>
              <w:rPr>
                <w:rFonts w:eastAsia="SimSun"/>
                <w:color w:val="000000"/>
                <w:lang w:val="en-US" w:bidi="ar"/>
              </w:rPr>
              <w:t xml:space="preserve">GARANTIA DE NO MÍNIMO 12 MESES. </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R$ 1.179,00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R$ 1.229,99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R$ 1.256,87</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R$ 1.285,00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R$ 1.295,00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R$ 1.249,1720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7.495,03</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20</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MARTELETE EM AÇO, TIPO PERFURADOR ROMPEDOR, COM POTÊNCIA DE NO MÍNIMO 800 WATTS, COM CAPACIDADE DE IMPACTO DE NO MÍNIMO 2,9J, NA VOLTAGEM 220 VOL</w:t>
            </w:r>
            <w:r>
              <w:rPr>
                <w:rFonts w:eastAsia="SimSun"/>
                <w:color w:val="000000"/>
                <w:lang w:bidi="ar"/>
              </w:rPr>
              <w:t xml:space="preserve">TS OU BIVOLT, ACOMPANHAR MANDRIL SDS-PLUS E MALETA PARA ACONDICIONAMENTO ADEQUADO.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R$ 760,32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R$ 798,67</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R$ 930,00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R$ 981,00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R$ 893,9980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4.469,99</w:t>
            </w:r>
            <w:r>
              <w:rPr>
                <w:rFonts w:eastAsia="Aptos Narrow"/>
                <w:color w:val="000000"/>
              </w:rPr>
            </w:r>
            <w:r>
              <w:rPr>
                <w:rFonts w:eastAsia="Aptos Narrow"/>
                <w:color w:val="000000"/>
              </w:rPr>
            </w:r>
          </w:p>
        </w:tc>
      </w:tr>
      <w:tr>
        <w:trPr>
          <w:trHeight w:val="215"/>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21</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25 MM (DIÂMETRO X COMPRIMENTO). EMBALAGEM COM 1.000 (MIL)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R$ 44,00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R$ 68,50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R$ 69,25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R$ 93,16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R$ 65,9820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11.876,76</w:t>
            </w:r>
            <w:r>
              <w:rPr>
                <w:rFonts w:eastAsia="Aptos Narrow"/>
                <w:color w:val="000000"/>
              </w:rPr>
            </w:r>
            <w:r>
              <w:rPr>
                <w:rFonts w:eastAsia="Aptos Narrow"/>
                <w:color w:val="000000"/>
              </w:rPr>
            </w:r>
          </w:p>
        </w:tc>
      </w:tr>
      <w:tr>
        <w:trPr>
          <w:trHeight w:val="6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22</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35 MM (DIÂMETRO X COMPRIMEN</w:t>
            </w:r>
            <w:r>
              <w:rPr>
                <w:rFonts w:eastAsia="SimSun"/>
                <w:color w:val="000000"/>
                <w:lang w:bidi="ar"/>
              </w:rPr>
              <w:t xml:space="preserve">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R$ 41,75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R$ 48,3500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2.901,00</w:t>
            </w:r>
            <w:r>
              <w:rPr>
                <w:rFonts w:eastAsia="Aptos Narrow"/>
                <w:color w:val="000000"/>
              </w:rPr>
            </w:r>
            <w:r>
              <w:rPr>
                <w:rFonts w:eastAsia="Aptos Narrow"/>
                <w:color w:val="000000"/>
              </w:rPr>
            </w:r>
          </w:p>
        </w:tc>
      </w:tr>
      <w:tr>
        <w:trPr>
          <w:trHeight w:val="66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23</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40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R$ 30,11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R$ 32,30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R$ 33,99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R$ 36,19</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R$ 32,5180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5.853,24</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24</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4 X 16 MM (DIÂMETRO X COMPRIMENTO). EMBALAGEM CO</w:t>
            </w:r>
            <w:r>
              <w:rPr>
                <w:rFonts w:eastAsia="SimSun"/>
                <w:color w:val="000000"/>
                <w:lang w:bidi="ar"/>
              </w:rPr>
              <w:t xml:space="preserve">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R$ 23,52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R$ 28,10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R$ 29,85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R$ 25,4940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7.648,20</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25</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4 X 25 MM (DIÂMETRO X COMPRIMENTO). EMBALAGEM COM 1.000 (MIL)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R$ 54,90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R$ 89,76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R$ 62,3320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14.959,68</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26</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4 X 40 MM (DIÂMETRO X COMPRIMENTO). EMBALAGEM COM 500 UNI</w:t>
            </w:r>
            <w:r>
              <w:rPr>
                <w:rFonts w:eastAsia="SimSun"/>
                <w:color w:val="000000"/>
                <w:lang w:bidi="ar"/>
              </w:rPr>
              <w:t xml:space="preserve">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R$ 56,71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R$ 62,3420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3.740,52</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27</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6 X 50 MM (DIÂMETRO X COMPRIMENTO). EMBALAGEM COM 200 UNIDADES. PADRÃO DE ENCAIXE PHILLIPS. MATERIAL AÇO CARBONO COM ACABAMENTO BICROMATIZADO, TRATAMENTO CEMENTADO.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R$ 42,95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R$ 46,80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R$ 47,40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R$ 57,00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R$ 47,8300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 2.869,80</w:t>
            </w: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28</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6 X 60 MM (DIÂMETRO X COMPR</w:t>
            </w:r>
            <w:r>
              <w:rPr>
                <w:rFonts w:eastAsia="SimSun"/>
                <w:color w:val="000000"/>
                <w:lang w:bidi="ar"/>
              </w:rPr>
              <w:t xml:space="preserve">IMENTO). EMBALAGEM COM 200 UNIDADES. PADRÃO DE ENCAIXE PHILLIPS. MATERIAL AÇO CARBONO COM ACABAMENTO BICROMATIZADO, TRATAMENTO CEMENTADO.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R$ 66,30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R$ 67,80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R$ 85,00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R$ 150,00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R$ 93,8200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5.629,20</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29</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PLACA DE MDF COM ESPESSURA 15MM </w:t>
            </w:r>
            <w:r>
              <w:rPr>
                <w:rFonts w:eastAsia="SimSun"/>
                <w:color w:val="000000"/>
                <w:lang w:bidi="ar"/>
              </w:rPr>
              <w:t xml:space="preserve">2 FACES. COR PADRÃO BRANCO TX, ACABAMENTO TEXTURIZADO. MEDIDAS MÍNIMAS: 2.750 X 1.850 X 15 MM (COMPRIMENTO X LARGURA X ESPESSURA). ACABAMENTO: REVESTIMENTO MELAMÍNICO DE BAIXA PRESSÃO (BP) NAS DUAS FACES CONFORME PADRÃO INDICADO. GARANTIA DO FABRICANTE DE </w:t>
            </w:r>
            <w:r>
              <w:rPr>
                <w:rFonts w:eastAsia="SimSun"/>
                <w:color w:val="000000"/>
                <w:lang w:bidi="ar"/>
              </w:rPr>
              <w:t xml:space="preserve">NO MÍNIMO 90 DIAS CONTRA VÍCIOS OU DEFEITOS DE FABRICAÇÃO.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704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R$ 247,50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R$ 268,33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R$ 282,52</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R$ 443,33</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R$ 308,3360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rPr>
            </w:pPr>
            <w:r>
              <w:rPr>
                <w:rFonts w:eastAsia="SimSun"/>
                <w:color w:val="000000"/>
                <w:lang w:val="en-US" w:bidi="ar"/>
              </w:rPr>
              <w:t xml:space="preserve">217.068,54</w:t>
            </w: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30</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PLACA DE MDF COM ESPESSURA 15MM 2 FACES. COR PADRÃO TONALIDADE MARROM D</w:t>
            </w:r>
            <w:r>
              <w:rPr>
                <w:rFonts w:eastAsia="SimSun"/>
                <w:color w:val="000000"/>
                <w:lang w:bidi="ar"/>
              </w:rPr>
              <w:t xml:space="preserve">OURADO, ACABAMENTO QUE SIMULA A MADEIRA NOGUEIRA, TEXTURA LINEA. MEDIDAS MÍNIMAS: 2.750 X 1.850 X 15 MM (COMPRIMENTO X LARGURA X ESPESSURA). COMPOSIÇÃO FIBRA DE EUCALIPTO. GARANTIA DO FABRICANTE DE NO MÍNIMO 90 DIAS CONTRA VÍCIOS OU DEFEITOS DE FABRICAÇÃO.</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1104</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R$ 230,00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R$ 260,00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R$ 333,00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R$ 418,15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R$ 574,16</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R$ 363,0620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400.820,45</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31</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center"/>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PLACA DE MDF ESPESSURA 6MM 2 FACES. COR PADRÃO BRANCO TX, ACABAMENTO TEXTURIZADO. ME</w:t>
            </w:r>
            <w:r>
              <w:rPr>
                <w:rFonts w:eastAsia="SimSun"/>
                <w:color w:val="000000"/>
                <w:lang w:bidi="ar"/>
              </w:rPr>
              <w:t xml:space="preserve">DIDAS MÍNIMAS: 2.750 X 1.850 X 6 MM (COMPRIMENTO X LARGURA X ESPESSURA). ACABAMENTO: REVESTIMENTO MELAMÍNICO DE BAIXA PRESSÃO (BP) NAS DUAS FACES CONFORME PADRÃO INDICADO. GARANTIA DO FABRICANTE DE NO MÍNIMO 90 DIAS CONTRA VÍCIOS OU DEFEITOS DE FABRICAÇÃO.</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450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R$ 178,00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R$ 230,00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R$ 255,00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R$ 257,25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R$ 369,00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R$ 257,8500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116.032,50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32</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PLAINA ELÉTRICA PAR</w:t>
            </w:r>
            <w:r>
              <w:rPr>
                <w:rFonts w:eastAsia="SimSun"/>
                <w:color w:val="000000"/>
                <w:lang w:bidi="ar"/>
              </w:rPr>
              <w:t xml:space="preserve">A MADEIRA, POTÊNCIA DE NO MÍNIMO 550W E 17000 RPM OU SUPERIOR; LARGURA MÍNIMA DA LÂMINA DE 82MM; TENSÃO BIVOLT.</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1</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R$ 558,15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R$ 592,00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R$ 888,00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R$ 1.183,84</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R$ 1.749,99</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R$ 994,3960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 994,40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33</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SAPATA NIVELADORA REGULÁ</w:t>
            </w:r>
            <w:r>
              <w:rPr>
                <w:rFonts w:eastAsia="SimSun"/>
                <w:color w:val="000000"/>
                <w:lang w:bidi="ar"/>
              </w:rPr>
              <w:t xml:space="preserve">VEL PARA MÓVEIS, ROSCA 5/16" X 1", COM BUCHA COMPATÍVEL, BASE COM DIÂMETRO/SEÇÃO APROXIMADA DE 31 MM, ALTURA MÁXIMA APROXIMADA DE 40 MM, COM REGULAGEM DE ALTURA, MATERIAL AÇO / ZAMAC, ACABAMENTO ZINCADO, PRÓPRIA PARA CORREÇÃO DE DESNÍVEL E APOIO DE MÓVEIS.</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R$ 3,38</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R$ 4,70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R$ 4,80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R$ 5,30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R$ 5,55</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R$ 5,2860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10.572,00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34</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val="en-US" w:bidi="ar"/>
              </w:rPr>
            </w:pPr>
            <w:r>
              <w:rPr>
                <w:rFonts w:eastAsia="SimSun"/>
                <w:color w:val="000000"/>
                <w:lang w:bidi="ar"/>
              </w:rPr>
              <w:t xml:space="preserve">SE</w:t>
            </w:r>
            <w:r>
              <w:rPr>
                <w:rFonts w:eastAsia="SimSun"/>
                <w:color w:val="000000"/>
                <w:lang w:bidi="ar"/>
              </w:rPr>
              <w:t xml:space="preserve">RRA ELÉTRICA MODELO TICO-TICO, POTÊNCIA DE NO MÍNIMO 650W, ROTAÇÃO DE 500 A 3100 RPM SEM CARGA, COM CAPACIDADE DE CORTE DE NO MÍNIMO: MADEIRA 120MM, ALUMÍNIO 20MM E AÇO 10MM. TENSÃO DE 220V OU BIVOLT. ACONDICIONADA EM EMBALAGEM ADEQUADA PARA O TRANSPORTE. </w:t>
            </w:r>
            <w:r>
              <w:rPr>
                <w:rFonts w:eastAsia="SimSun"/>
                <w:color w:val="000000"/>
                <w:lang w:val="en-US" w:bidi="ar"/>
              </w:rPr>
              <w:t xml:space="preserve">MANUAL DE INSTRUÇÕES EM PORTUGUÊS E CERTIFICADO DE GARANTIA.</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R$ 556,50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R$ 562,00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R$ 630,00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R$ 858,00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R$ 944,99</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R$ 710,2980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 1.420,60</w:t>
            </w: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2"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35</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2704"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SERRA ESQUADRIA 10", POTÊNCIA DE NO MÍNIMO 1650 WAT</w:t>
            </w:r>
            <w:r>
              <w:rPr>
                <w:rFonts w:eastAsia="SimSun"/>
                <w:color w:val="000000"/>
                <w:lang w:bidi="ar"/>
              </w:rPr>
              <w:t xml:space="preserve">TS, VOLTAGEM 127V OU BIVOLT. MANUAL DE INSTRUÇÕES EM PORTUGUÊS E CERTIFICADO DE GARANTIA.</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839"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495"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R$ 1.501,00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R$ 1.518,28</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6"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R$ 2.050,00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88"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R$ 2.410,00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82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R$ 2.978,00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937" w:type="dxa"/>
            <w:vAlign w:val="center"/>
            <w:textDirection w:val="lrTb"/>
            <w:noWrap/>
          </w:tcPr>
          <w:p>
            <w:pPr>
              <w:pStyle w:val="828"/>
              <w:pBdr/>
              <w:spacing/>
              <w:ind/>
              <w:jc w:val="center"/>
              <w:rPr>
                <w:rFonts w:eastAsia="Aptos Narrow"/>
                <w:color w:val="000000"/>
                <w:highlight w:val="green"/>
                <w:lang w:val="en-US" w:bidi="ar"/>
              </w:rPr>
            </w:pPr>
            <w:r>
              <w:rPr>
                <w:rFonts w:eastAsia="SimSun"/>
                <w:color w:val="000000"/>
                <w:lang w:val="en-US" w:bidi="ar"/>
              </w:rPr>
              <w:t xml:space="preserve">R$ 2.091,4560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71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t xml:space="preserve">R$ </w:t>
            </w:r>
            <w:r>
              <w:rPr>
                <w:rFonts w:eastAsia="SimSun"/>
                <w:color w:val="000000"/>
                <w:lang w:val="en-US" w:bidi="ar"/>
              </w:rPr>
            </w:r>
          </w:p>
          <w:p>
            <w:pPr>
              <w:pStyle w:val="828"/>
              <w:pBdr/>
              <w:spacing/>
              <w:ind/>
              <w:jc w:val="center"/>
              <w:rPr>
                <w:rFonts w:eastAsia="Aptos Narrow"/>
                <w:color w:val="000000"/>
                <w:highlight w:val="green"/>
                <w:lang w:val="en-US" w:bidi="ar"/>
              </w:rPr>
            </w:pPr>
            <w:r>
              <w:rPr>
                <w:rFonts w:eastAsia="SimSun"/>
                <w:color w:val="000000"/>
                <w:lang w:val="en-US" w:bidi="ar"/>
              </w:rPr>
              <w:t xml:space="preserve">4.182,91</w:t>
            </w:r>
            <w:r>
              <w:rPr>
                <w:rFonts w:eastAsia="Aptos Narrow"/>
                <w:color w:val="000000"/>
                <w:highlight w:val="green"/>
                <w:lang w:val="en-US" w:bidi="ar"/>
              </w:rPr>
            </w:r>
            <w:r>
              <w:rPr>
                <w:rFonts w:eastAsia="Aptos Narrow"/>
                <w:color w:val="000000"/>
                <w:highlight w:val="green"/>
                <w:lang w:val="en-US" w:bidi="ar"/>
              </w:rPr>
            </w:r>
          </w:p>
        </w:tc>
      </w:tr>
    </w:tbl>
    <w:p>
      <w:pPr>
        <w:pStyle w:val="979"/>
        <w:pBdr/>
        <w:spacing/>
        <w:ind/>
        <w:jc w:val="both"/>
        <w:rPr>
          <w:rFonts w:eastAsia="Verdana"/>
          <w:sz w:val="20"/>
          <w:szCs w:val="20"/>
        </w:rPr>
      </w:pPr>
      <w:r>
        <w:rPr>
          <w:rFonts w:eastAsia="Verdana"/>
          <w:sz w:val="20"/>
          <w:szCs w:val="20"/>
        </w:rPr>
      </w:r>
      <w:r>
        <w:rPr>
          <w:rFonts w:eastAsia="Verdana"/>
          <w:sz w:val="20"/>
          <w:szCs w:val="20"/>
        </w:rPr>
      </w:r>
    </w:p>
    <w:p>
      <w:pPr>
        <w:pStyle w:val="828"/>
        <w:pBdr/>
        <w:spacing/>
        <w:ind/>
        <w:jc w:val="both"/>
        <w:rPr>
          <w:rFonts w:ascii="Arial" w:hAnsi="Arial" w:cs="Arial"/>
          <w:b/>
        </w:rPr>
      </w:pPr>
      <w:r>
        <w:rPr>
          <w:rFonts w:ascii="Arial" w:hAnsi="Arial" w:cs="Arial"/>
          <w:b/>
        </w:rPr>
        <w:t xml:space="preserve">Valor total: R$ xxxxxxxxxxxxxxxxxx</w:t>
      </w: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TERCEIRA – DO REGIME DE EXECUÇÃO E FORMA DE FORNECIMENTO</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3.1. </w:t>
      </w:r>
      <w:r>
        <w:rPr>
          <w:rFonts w:ascii="Arial" w:hAnsi="Arial" w:cs="Arial"/>
        </w:rPr>
        <w:t xml:space="preserve">O regime de execução é diferido e o fornecimento do objeto se dará mediante solicitação realizada pelo órgão municipal, por meio de ordem de fornecimento, devendo constar informações que identifique o solicitante</w:t>
      </w:r>
      <w:r>
        <w:rPr>
          <w:rFonts w:ascii="Arial" w:hAnsi="Arial" w:cs="Arial"/>
          <w:b/>
        </w:rPr>
        <w:t xml:space="preserve">;</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3.2. </w:t>
      </w:r>
      <w:r>
        <w:rPr>
          <w:rFonts w:ascii="Arial" w:hAnsi="Arial" w:cs="Arial"/>
        </w:rPr>
        <w:t xml:space="preserve">Na execução do objeto deverão ainda serem observadas as condições estabelecidas no termo de referência, edital e seus anexos;</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3.3. </w:t>
      </w:r>
      <w:r>
        <w:rPr>
          <w:rFonts w:ascii="Arial" w:hAnsi="Arial" w:cs="Arial"/>
        </w:rPr>
        <w:t xml:space="preserve">O fornecimento/execução do objeto licitado terá início após a assinatura deste, expedição de nota de empenho e a emissão da ordem de fornecimento.</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QUARTA – DAS ESPECIFICAÇÕES E QUANTIDADES DOS PRODUTOS</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4.1. </w:t>
      </w:r>
      <w:r>
        <w:rPr>
          <w:rFonts w:ascii="Arial" w:hAnsi="Arial" w:cs="Arial"/>
        </w:rPr>
        <w:t xml:space="preserve">O objeto licitado deverá ser fornecido conforme as especificações e quantidades licitadas e contratadas, constantes nos documentos da CLÁUSULA PRIMEIRA.</w:t>
      </w:r>
      <w:r>
        <w:rPr>
          <w:rFonts w:ascii="Arial" w:hAnsi="Arial" w:cs="Arial"/>
          <w:b/>
        </w:rPr>
        <w:t xml:space="preserve"> </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eastAsia="Arial" w:cs="Arial"/>
          <w:b/>
        </w:rPr>
        <w:t xml:space="preserve">   </w:t>
      </w:r>
      <w:r>
        <w:rPr>
          <w:rFonts w:ascii="Arial" w:hAnsi="Arial" w:eastAsia="Arial" w:cs="Arial"/>
          <w:b/>
        </w:rPr>
        <w:t xml:space="preserve"> </w:t>
      </w:r>
      <w:r>
        <w:rPr>
          <w:rFonts w:ascii="Arial" w:hAnsi="Arial" w:cs="Arial"/>
          <w:b/>
        </w:rPr>
      </w:r>
      <w:r>
        <w:rPr>
          <w:rFonts w:ascii="Arial" w:hAnsi="Arial" w:cs="Arial"/>
          <w:b/>
        </w:rPr>
      </w:r>
    </w:p>
    <w:p>
      <w:pPr>
        <w:pStyle w:val="828"/>
        <w:pBdr/>
        <w:spacing/>
        <w:ind/>
        <w:rPr>
          <w:rFonts w:ascii="Arial" w:hAnsi="Arial" w:cs="Arial"/>
        </w:rPr>
      </w:pPr>
      <w:r>
        <w:rPr>
          <w:rFonts w:ascii="Arial" w:hAnsi="Arial" w:cs="Arial"/>
          <w:b/>
        </w:rPr>
        <w:t xml:space="preserve">CLÁUSULA QUINTA – DAS OBRIGAÇÕES DA CONTRATADA:</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Style w:val="905"/>
          <w:rFonts w:ascii="Arial" w:hAnsi="Arial" w:eastAsia="Calibri" w:cs="Arial"/>
          <w:b/>
        </w:rPr>
        <w:t xml:space="preserve">5.1.</w:t>
      </w:r>
      <w:r>
        <w:rPr>
          <w:rStyle w:val="905"/>
          <w:rFonts w:ascii="Arial" w:hAnsi="Arial" w:eastAsia="Calibri" w:cs="Arial"/>
        </w:rPr>
        <w:t xml:space="preserve"> Constituem obrigações da Contratada, a</w:t>
      </w:r>
      <w:r>
        <w:rPr>
          <w:rFonts w:ascii="Arial" w:hAnsi="Arial" w:cs="Arial"/>
          <w:lang w:val="pt-PT"/>
        </w:rPr>
        <w:t xml:space="preserve">lém das demais previstas no Termo de Referência</w:t>
      </w:r>
      <w:r>
        <w:rPr>
          <w:rStyle w:val="905"/>
          <w:rFonts w:ascii="Arial" w:hAnsi="Arial" w:eastAsia="Calibri" w:cs="Arial"/>
        </w:rPr>
        <w:t xml:space="preserve">: </w:t>
      </w:r>
      <w:r>
        <w:rPr>
          <w:rFonts w:ascii="Arial" w:hAnsi="Arial" w:cs="Arial"/>
        </w:rPr>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5.2.</w:t>
      </w:r>
      <w:r>
        <w:rPr>
          <w:rFonts w:ascii="Arial" w:hAnsi="Arial" w:cs="Arial"/>
        </w:rPr>
        <w:t xml:space="preserve"> Executar o </w:t>
      </w:r>
      <w:r>
        <w:rPr>
          <w:rFonts w:ascii="Arial" w:hAnsi="Arial" w:cs="Arial"/>
        </w:rPr>
        <w:t xml:space="preserve">fornecimento dos materiais em perfeitas condições de uso, no prazo e local indicados pela Administração, em estrita conformidade com as especificações constantes no Edital, Termo de Referência e proposta apresentada, acompanhados da respectiva Nota Fiscal.</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5.3.</w:t>
      </w:r>
      <w:r>
        <w:rPr>
          <w:rFonts w:ascii="Arial" w:hAnsi="Arial" w:cs="Arial"/>
        </w:rPr>
        <w:t xml:space="preserve"> Cumprir todas as leis, normas e posturas federais, estaduais e municipais pertinentes, res</w:t>
      </w:r>
      <w:r>
        <w:rPr>
          <w:rFonts w:ascii="Arial" w:hAnsi="Arial" w:cs="Arial"/>
        </w:rPr>
        <w:t xml:space="preserve">ponsabilizando-se pelos prejuízos decorrentes de infrações a que houver dado causa.</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5.4</w:t>
      </w:r>
      <w:r>
        <w:rPr>
          <w:rFonts w:ascii="Arial" w:hAnsi="Arial" w:cs="Arial"/>
        </w:rPr>
        <w:t xml:space="preserve">. Assumir, com exclusividade, todos os tributos, impost</w:t>
      </w:r>
      <w:r>
        <w:rPr>
          <w:rFonts w:ascii="Arial" w:hAnsi="Arial" w:cs="Arial"/>
        </w:rPr>
        <w:t xml:space="preserve">os, taxas e demais encargos decorrentes da execução do objeto contratual, bem como quaisquer despesas necessárias ao seu cumprimento, inclusive transporte, carga, descarga, configuração e pessoal, apresentando os respectivos comprovantes quando solicitado.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5.5.</w:t>
      </w:r>
      <w:r>
        <w:rPr>
          <w:rFonts w:ascii="Arial" w:hAnsi="Arial" w:cs="Arial"/>
        </w:rPr>
        <w:t xml:space="preserve"> Aceitar, nas mesmas condições contratuais, os acréscimos ou supressões de até 25% (vinte e cinco por cento) </w:t>
      </w:r>
      <w:r>
        <w:rPr>
          <w:rFonts w:ascii="Arial" w:hAnsi="Arial" w:cs="Arial"/>
        </w:rPr>
        <w:t xml:space="preserve">do valor inicial atualizado do contrato.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5.6.</w:t>
      </w:r>
      <w:r>
        <w:rPr>
          <w:rFonts w:ascii="Arial" w:hAnsi="Arial" w:cs="Arial"/>
        </w:rPr>
        <w:t xml:space="preserve"> Responder perante a Contratante e terceiros por quaisquer danos ou prejuízos decorrentes de atraso, omissão ou erro na execução do objeto.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5.7.</w:t>
      </w:r>
      <w:r>
        <w:rPr>
          <w:rFonts w:ascii="Arial" w:hAnsi="Arial" w:cs="Arial"/>
        </w:rPr>
        <w:t xml:space="preserve"> Responsabilizar-se por ônus decorrentes de falhas ou erros na estimativa de custos que resultem em aumento de despesas para a Administração.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5.8.</w:t>
      </w:r>
      <w:r>
        <w:rPr>
          <w:rFonts w:ascii="Arial" w:hAnsi="Arial" w:cs="Arial"/>
        </w:rPr>
        <w:t xml:space="preserve"> Assumir integral responsabilidade por ações, demandas, custos e despesas decorrentes de danos causados por seus empregados, prepostos ou contratados, bem como por obrigações or</w:t>
      </w:r>
      <w:r>
        <w:rPr>
          <w:rFonts w:ascii="Arial" w:hAnsi="Arial" w:cs="Arial"/>
        </w:rPr>
        <w:t xml:space="preserve">iundas de ações judiciais relacionadas à execução do contrato.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5.9</w:t>
      </w:r>
      <w:r>
        <w:rPr>
          <w:rFonts w:ascii="Arial" w:hAnsi="Arial" w:cs="Arial"/>
        </w:rPr>
        <w:t xml:space="preserve">. Cumprir integralmente a legislação trabalhista e previdenciária vigente, incluindo as normas relativas à inclusão de pessoas com deficiência, reabilitados da Previdência Social e aprendizes.</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5.10.</w:t>
      </w:r>
      <w:r>
        <w:rPr>
          <w:rFonts w:ascii="Arial" w:hAnsi="Arial" w:cs="Arial"/>
        </w:rPr>
        <w:t xml:space="preserve"> Manter, durante toda a execução contratual, todas as condições de habilitação e qualificação exigidas no processo licitatório.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5.11.</w:t>
      </w:r>
      <w:r>
        <w:rPr>
          <w:rFonts w:ascii="Arial" w:hAnsi="Arial" w:cs="Arial"/>
        </w:rPr>
        <w:t xml:space="preserve"> Comunicar à Administração qualquer alteração em seus dados cadastrais ou condições iniciais, tais como endereço, c</w:t>
      </w:r>
      <w:r>
        <w:rPr>
          <w:rFonts w:ascii="Arial" w:hAnsi="Arial" w:cs="Arial"/>
        </w:rPr>
        <w:t xml:space="preserve">ontatos, dados bancários e responsáveis legais.</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5.12.</w:t>
      </w:r>
      <w:r>
        <w:rPr>
          <w:rFonts w:ascii="Arial" w:hAnsi="Arial" w:cs="Arial"/>
        </w:rPr>
        <w:t xml:space="preserve"> Permitir o acesso da auditoria interna ou de representantes designados pela Contratante aos documentos fiscais e contábeis relacionados ao objeto contratado.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5.13</w:t>
      </w:r>
      <w:r>
        <w:rPr>
          <w:rFonts w:ascii="Arial" w:hAnsi="Arial" w:cs="Arial"/>
        </w:rPr>
        <w:t xml:space="preserve">. Executar o fornecimento conforme os padrões de qualidade estabelecidos, responsabilizando-se por prejuízos decorrentes do descumprimento das especificações.</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5.14.</w:t>
      </w:r>
      <w:r>
        <w:rPr>
          <w:rFonts w:ascii="Arial" w:hAnsi="Arial" w:cs="Arial"/>
        </w:rPr>
        <w:t xml:space="preserve"> Substituir, no prazo máximo de </w:t>
      </w:r>
      <w:r>
        <w:rPr>
          <w:rFonts w:ascii="Arial" w:hAnsi="Arial" w:cs="Arial"/>
        </w:rPr>
        <w:t xml:space="preserve">10</w:t>
      </w:r>
      <w:r>
        <w:rPr>
          <w:rFonts w:ascii="Arial" w:hAnsi="Arial" w:cs="Arial"/>
        </w:rPr>
        <w:t xml:space="preserve"> (</w:t>
      </w:r>
      <w:r>
        <w:rPr>
          <w:rFonts w:ascii="Arial" w:hAnsi="Arial" w:cs="Arial"/>
        </w:rPr>
        <w:t xml:space="preserve">dez</w:t>
      </w:r>
      <w:r>
        <w:rPr>
          <w:rFonts w:ascii="Arial" w:hAnsi="Arial" w:cs="Arial"/>
        </w:rPr>
        <w:t xml:space="preserve">) dias úteis, às suas expensas, os materiais que apresentarem defeitos, avarias ou desconform</w:t>
      </w:r>
      <w:r>
        <w:rPr>
          <w:rFonts w:ascii="Arial" w:hAnsi="Arial" w:cs="Arial"/>
        </w:rPr>
        <w:t xml:space="preserve">idade com as especificações.</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5.15.</w:t>
      </w:r>
      <w:r>
        <w:rPr>
          <w:rFonts w:ascii="Arial" w:hAnsi="Arial" w:cs="Arial"/>
        </w:rPr>
        <w:t xml:space="preserve"> Prestar, prontamente, os esclarecimentos solicitados pela Administração, atendendo às reclamações e viabilizando ampla fiscalização, inclusive com acesso à documentação pertinente.</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5.16.</w:t>
      </w:r>
      <w:r>
        <w:rPr>
          <w:rFonts w:ascii="Arial" w:hAnsi="Arial" w:cs="Arial"/>
        </w:rPr>
        <w:t xml:space="preserve"> Responsabilizar-se pela qualidade dos produtos fornecidos, respondendo por vícios, defeitos ou danos, conforme a legislação aplicável.</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5.17.</w:t>
      </w:r>
      <w:r>
        <w:rPr>
          <w:rFonts w:ascii="Arial" w:hAnsi="Arial" w:cs="Arial"/>
        </w:rPr>
        <w:t xml:space="preserve"> Arcar com todos os custos de produção, personalização, embalagem, transporte e entrega dos materiais, sem ônus adicional para a Administração.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5.18.</w:t>
      </w:r>
      <w:r>
        <w:rPr>
          <w:rFonts w:ascii="Arial" w:hAnsi="Arial" w:cs="Arial"/>
        </w:rPr>
        <w:t xml:space="preserve"> </w:t>
      </w:r>
      <w:r>
        <w:rPr>
          <w:rFonts w:ascii="Arial" w:hAnsi="Arial" w:cs="Arial"/>
        </w:rPr>
        <w:t xml:space="preserve">Garantir que os materiais estejam em conformidade com </w:t>
      </w:r>
      <w:r>
        <w:rPr>
          <w:rFonts w:ascii="Arial" w:hAnsi="Arial" w:cs="Arial"/>
        </w:rPr>
        <w:t xml:space="preserve">o termo de referencia,</w:t>
      </w:r>
      <w:r>
        <w:rPr>
          <w:rFonts w:ascii="Arial" w:hAnsi="Arial" w:cs="Arial"/>
        </w:rPr>
        <w:t xml:space="preserve"> assegurando qualidade, durabilidade e adequação ao uso.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5.19</w:t>
      </w:r>
      <w:r>
        <w:rPr>
          <w:rFonts w:ascii="Arial" w:hAnsi="Arial" w:cs="Arial"/>
        </w:rPr>
        <w:t xml:space="preserve">. Assumir o ônus decorrente de eventual erro no dimensionamento dos quantitativos de sua proposta, inclusive quanto a custos variáveis, ressalvadas as hipóteses legais de reequilíbrio previstas na legislação vigente.</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5.20.</w:t>
      </w:r>
      <w:r>
        <w:rPr>
          <w:rFonts w:ascii="Arial" w:hAnsi="Arial" w:cs="Arial"/>
        </w:rPr>
        <w:t xml:space="preserve"> Comunicar imediatamente à Administração quaisquer fatos que possam comprometer prazos ou a execução do objeto, devidamente justificados.</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5.21</w:t>
      </w:r>
      <w:r>
        <w:rPr>
          <w:rFonts w:ascii="Arial" w:hAnsi="Arial" w:cs="Arial"/>
        </w:rPr>
        <w:t xml:space="preserve">. Não trans</w:t>
      </w:r>
      <w:r>
        <w:rPr>
          <w:rFonts w:ascii="Arial" w:hAnsi="Arial" w:cs="Arial"/>
        </w:rPr>
        <w:t xml:space="preserve">ferir a terceiros as obrigações assumidas, salvo mediante prévia e expressa autorização da Administração.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5.22.</w:t>
      </w:r>
      <w:r>
        <w:rPr>
          <w:rFonts w:ascii="Arial" w:hAnsi="Arial" w:cs="Arial"/>
        </w:rPr>
        <w:t xml:space="preserve"> O descumprimento das obrigações previstas nesta cláusula poderá ensejar a aplicação de sanções administrativas, sem prejuízo das demais medidas cabíveis.</w:t>
      </w:r>
      <w:r>
        <w:rPr>
          <w:rFonts w:ascii="Arial" w:hAnsi="Arial" w:cs="Arial"/>
        </w:rPr>
      </w:r>
    </w:p>
    <w:p>
      <w:pPr>
        <w:pStyle w:val="828"/>
        <w:pBdr/>
        <w:spacing/>
        <w:ind/>
        <w:jc w:val="both"/>
        <w:rPr>
          <w:rFonts w:ascii="Arial" w:hAnsi="Arial" w:cs="Arial"/>
        </w:rPr>
      </w:pPr>
      <w:r>
        <w:rPr>
          <w:rFonts w:ascii="Arial" w:hAnsi="Arial" w:cs="Arial"/>
          <w:b/>
        </w:rPr>
        <w:t xml:space="preserve">CLÁUSULA SEXTA – SUBCONTRATAÇÃO</w:t>
      </w:r>
      <w:r>
        <w:rPr>
          <w:rFonts w:ascii="Arial" w:hAnsi="Arial" w:cs="Arial"/>
        </w:rPr>
        <w:t xml:space="preserve">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Style w:val="905"/>
          <w:rFonts w:eastAsia="Calibri"/>
        </w:rPr>
      </w:pPr>
      <w:r>
        <w:rPr>
          <w:rStyle w:val="905"/>
          <w:rFonts w:ascii="Arial" w:hAnsi="Arial" w:eastAsia="Calibri" w:cs="Arial"/>
          <w:b/>
        </w:rPr>
        <w:t xml:space="preserve">6.1.</w:t>
      </w:r>
      <w:r>
        <w:rPr>
          <w:rStyle w:val="905"/>
          <w:rFonts w:eastAsia="Calibri"/>
        </w:rPr>
        <w:t xml:space="preserve"> </w:t>
      </w:r>
      <w:r>
        <w:rPr>
          <w:rStyle w:val="905"/>
          <w:rFonts w:ascii="Arial" w:hAnsi="Arial" w:eastAsia="Calibri" w:cs="Arial"/>
        </w:rPr>
        <w:t xml:space="preserve">É vedada a subcontratação total ou parcial do objeto, permanecendo a Contratada integralmente responsável pela execução do fornecimento, pela qualidade dos bens entregues e pelo cumprimento de todas as obrig</w:t>
      </w:r>
      <w:r>
        <w:rPr>
          <w:rStyle w:val="905"/>
          <w:rFonts w:ascii="Arial" w:hAnsi="Arial" w:eastAsia="Calibri" w:cs="Arial"/>
        </w:rPr>
        <w:t xml:space="preserve">ações contratuais.</w:t>
      </w:r>
      <w:r>
        <w:rPr>
          <w:rStyle w:val="905"/>
          <w:rFonts w:eastAsia="Calibri"/>
        </w:rPr>
      </w:r>
      <w:r>
        <w:rPr>
          <w:rStyle w:val="905"/>
          <w:rFonts w:eastAsia="Calibri"/>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000000"/>
        </w:rPr>
        <w:t xml:space="preserve">CLÁUSULA SÉTIMA – DA EXECUÇÃO DO CONTRATO E DO RECEBIMENTO DOS PRODUTOS:</w:t>
      </w:r>
      <w:r>
        <w:rPr>
          <w:rFonts w:ascii="Arial" w:hAnsi="Arial" w:cs="Arial"/>
        </w:rPr>
      </w:r>
      <w:r>
        <w:rPr>
          <w:rFonts w:ascii="Arial" w:hAnsi="Arial" w:cs="Arial"/>
        </w:rPr>
      </w:r>
    </w:p>
    <w:p>
      <w:pPr>
        <w:pStyle w:val="828"/>
        <w:pBdr/>
        <w:spacing/>
        <w:ind/>
        <w:jc w:val="both"/>
        <w:rPr>
          <w:rStyle w:val="905"/>
          <w:rFonts w:ascii="Arial" w:hAnsi="Arial" w:eastAsia="Calibri" w:cs="Arial"/>
          <w:b/>
        </w:rPr>
      </w:pPr>
      <w:r>
        <w:rPr>
          <w:rStyle w:val="905"/>
          <w:rFonts w:ascii="Arial" w:hAnsi="Arial" w:eastAsia="Calibri" w:cs="Arial"/>
          <w:b/>
        </w:rPr>
      </w:r>
      <w:r>
        <w:rPr>
          <w:rStyle w:val="905"/>
          <w:rFonts w:ascii="Arial" w:hAnsi="Arial" w:eastAsia="Calibri" w:cs="Arial"/>
          <w:b/>
        </w:rPr>
      </w:r>
    </w:p>
    <w:p>
      <w:pPr>
        <w:pStyle w:val="828"/>
        <w:pBdr/>
        <w:tabs>
          <w:tab w:val="left" w:leader="none" w:pos="3514"/>
        </w:tabs>
        <w:spacing/>
        <w:ind/>
        <w:jc w:val="both"/>
        <w:rPr>
          <w:rFonts w:ascii="Arial" w:hAnsi="Arial" w:cs="Arial"/>
        </w:rPr>
      </w:pPr>
      <w:r>
        <w:rPr>
          <w:rFonts w:ascii="Arial" w:hAnsi="Arial" w:cs="Arial"/>
          <w:b/>
        </w:rPr>
        <w:t xml:space="preserve">7.1.</w:t>
      </w:r>
      <w:r>
        <w:rPr>
          <w:rFonts w:ascii="Arial" w:hAnsi="Arial" w:cs="Arial"/>
        </w:rPr>
        <w:t xml:space="preserve"> A execução do fornecimento </w:t>
      </w:r>
      <w:r>
        <w:rPr>
          <w:rFonts w:ascii="Arial" w:hAnsi="Arial" w:cs="Arial"/>
        </w:rPr>
        <w:t xml:space="preserve">terá início a partir do efetivo recebimento, pela CONTRATADA, da Ordem de Fornecimento e/ou Nota de Empenho emitida pela CONTRATANTE, constituindo-se tal ato no marco inicial formal para a entrega dos produtos, aplicável individualmente a cada solicitação.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7.2.</w:t>
      </w:r>
      <w:r>
        <w:rPr>
          <w:rFonts w:ascii="Arial" w:hAnsi="Arial" w:cs="Arial"/>
        </w:rPr>
        <w:t xml:space="preserve"> O prazo máximo para entrega d</w:t>
      </w:r>
      <w:r>
        <w:rPr>
          <w:rFonts w:ascii="Arial" w:hAnsi="Arial" w:cs="Arial"/>
        </w:rPr>
        <w:t xml:space="preserve">o objeto lic</w:t>
      </w:r>
      <w:r>
        <w:rPr>
          <w:rFonts w:ascii="Arial" w:hAnsi="Arial" w:cs="Arial"/>
        </w:rPr>
        <w:t xml:space="preserve">i</w:t>
      </w:r>
      <w:r>
        <w:rPr>
          <w:rFonts w:ascii="Arial" w:hAnsi="Arial" w:cs="Arial"/>
        </w:rPr>
        <w:t xml:space="preserve">tado</w:t>
      </w:r>
      <w:r>
        <w:rPr>
          <w:rFonts w:ascii="Arial" w:hAnsi="Arial" w:cs="Arial"/>
        </w:rPr>
        <w:t xml:space="preserve"> será de até 30 (trinta) dias corridos, contados do efetivo recebimento, pela</w:t>
      </w:r>
      <w:r>
        <w:rPr>
          <w:rFonts w:ascii="Arial" w:hAnsi="Arial" w:cs="Arial"/>
        </w:rPr>
        <w:t xml:space="preserve"> CONTRATADA, da Ordem de Fornecimento</w:t>
      </w:r>
      <w:r>
        <w:rPr>
          <w:rFonts w:ascii="Arial" w:hAnsi="Arial" w:cs="Arial"/>
        </w:rPr>
        <w:t xml:space="preserve">,</w:t>
      </w:r>
      <w:r>
        <w:rPr>
          <w:rFonts w:ascii="Arial" w:hAnsi="Arial" w:cs="Arial"/>
        </w:rPr>
        <w:t xml:space="preserve"> Nota de Empenho</w:t>
      </w:r>
      <w:r>
        <w:rPr>
          <w:rFonts w:ascii="Arial" w:hAnsi="Arial" w:cs="Arial"/>
        </w:rPr>
        <w:t xml:space="preserve"> ou instrumento equivalente</w:t>
      </w:r>
      <w:r>
        <w:rPr>
          <w:rFonts w:ascii="Arial" w:hAnsi="Arial" w:cs="Arial"/>
        </w:rPr>
        <w:t xml:space="preserve">.</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7.2.1</w:t>
      </w:r>
      <w:r>
        <w:rPr>
          <w:rFonts w:ascii="Arial" w:hAnsi="Arial" w:cs="Arial"/>
        </w:rPr>
        <w:t xml:space="preserve">. </w:t>
      </w:r>
      <w:r>
        <w:rPr>
          <w:rFonts w:ascii="Arial" w:hAnsi="Arial" w:cs="Arial"/>
        </w:rPr>
        <w:t xml:space="preserve">Em caráter excepcional, mediante justificativa técnica devidamente fundamentada pela CONTRATADA, o prazo para o recebimento do objeto poderá ser prorrogado, desde qu</w:t>
      </w:r>
      <w:r>
        <w:rPr>
          <w:rFonts w:ascii="Arial" w:hAnsi="Arial" w:cs="Arial"/>
        </w:rPr>
        <w:t xml:space="preserve">e previamente submetido à análise e aprovado expressamente pela Administração (CONTRATANTE), mediante decisão motivada, observados os princípios da legalidade, razoabilidade, interesse público e as disposições contratuais aplicáveis, sem prejuízo da apuraç</w:t>
      </w:r>
      <w:r>
        <w:rPr>
          <w:rFonts w:ascii="Arial" w:hAnsi="Arial" w:cs="Arial"/>
        </w:rPr>
        <w:t xml:space="preserve">ão de responsabilidades e eventual aplicação das penalidades cabíveis.</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7.3</w:t>
      </w:r>
      <w:r>
        <w:rPr>
          <w:rFonts w:ascii="Arial" w:hAnsi="Arial" w:cs="Arial"/>
        </w:rPr>
        <w:t xml:space="preserve">. Os produtos deverão ser entregues no local indicado na Ordem de Fornecimento, dentro dos limites territoriais do Município de Rondonópolis/MT, devendo essa informação constar da Nota de Empenho, da Ordem de Fornecimento ou de outro instrumento hábil.</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7.4</w:t>
      </w:r>
      <w:r>
        <w:rPr>
          <w:rFonts w:ascii="Arial" w:hAnsi="Arial" w:cs="Arial"/>
        </w:rPr>
        <w:t xml:space="preserve">. Durante a execução contratual, a CONTRATADA deverá observar, quanto à entrega e à conferência dos produtos, as seguintes obrigações: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7.4.1.</w:t>
      </w:r>
      <w:r>
        <w:rPr>
          <w:rFonts w:ascii="Arial" w:hAnsi="Arial" w:cs="Arial"/>
        </w:rPr>
        <w:t xml:space="preserve"> Realizar a entrega d</w:t>
      </w:r>
      <w:r>
        <w:rPr>
          <w:rFonts w:ascii="Arial" w:hAnsi="Arial" w:cs="Arial"/>
        </w:rPr>
        <w:t xml:space="preserve">o</w:t>
      </w:r>
      <w:r>
        <w:rPr>
          <w:rFonts w:ascii="Arial" w:hAnsi="Arial" w:cs="Arial"/>
        </w:rPr>
        <w:t xml:space="preserve"> </w:t>
      </w:r>
      <w:r>
        <w:rPr>
          <w:rFonts w:ascii="Arial" w:hAnsi="Arial" w:cs="Arial"/>
        </w:rPr>
        <w:t xml:space="preserve">objeto licitado</w:t>
      </w:r>
      <w:r>
        <w:rPr>
          <w:rFonts w:ascii="Arial" w:hAnsi="Arial" w:cs="Arial"/>
        </w:rPr>
        <w:t xml:space="preserve"> nos locais indicados pela CONTRATANTE, dentro dos prazos, quantidades e condições estabelecidos no Termo de Referência, no Edital, na Ata de Registro de Preços, quando houver, e neste Contrato;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7.4.2.</w:t>
      </w:r>
      <w:r>
        <w:rPr>
          <w:rFonts w:ascii="Arial" w:hAnsi="Arial" w:cs="Arial"/>
        </w:rPr>
        <w:t xml:space="preserve"> Assegurar que os produtos fornecidos sejam novos, de primeiro uso, e estejam livres de defeitos de fabricação, danos, avarias ou quaisquer irregularidades que comprometam sua qualidade, apresentação ou funcionalidade;</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7.4.3.</w:t>
      </w:r>
      <w:r>
        <w:rPr>
          <w:rFonts w:ascii="Arial" w:hAnsi="Arial" w:cs="Arial"/>
        </w:rPr>
        <w:t xml:space="preserve"> Garantir que os itens entregues estejam em estrita conformidade com as especificaçõ</w:t>
      </w:r>
      <w:r>
        <w:rPr>
          <w:rFonts w:ascii="Arial" w:hAnsi="Arial" w:cs="Arial"/>
        </w:rPr>
        <w:t xml:space="preserve">es técnicas, quantitativos e padrões de qualidade definidos no Termo de Referência, no Edital e neste Contrato;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7.4.4</w:t>
      </w:r>
      <w:r>
        <w:rPr>
          <w:rFonts w:ascii="Arial" w:hAnsi="Arial" w:cs="Arial"/>
        </w:rPr>
        <w:t xml:space="preserve">. Proceder, quando solicitado, à conferência e verificação dos produtos em conjunto com a fiscalização designada pela CONTRATANTE;</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7.4.5.</w:t>
      </w:r>
      <w:r>
        <w:rPr>
          <w:rFonts w:ascii="Arial" w:hAnsi="Arial" w:cs="Arial"/>
        </w:rPr>
        <w:t xml:space="preserve"> Realizar, sem ônus adicional para a CONTRATANTE, os ajustes necessários, bem como a substituição dos produtos que apresentarem defeitos, inconformidades, divergências ou qualquer desacordo em relação às especificações contratadas;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7.4.6.</w:t>
      </w:r>
      <w:r>
        <w:rPr>
          <w:rFonts w:ascii="Arial" w:hAnsi="Arial" w:cs="Arial"/>
        </w:rPr>
        <w:t xml:space="preserve"> </w:t>
      </w:r>
      <w:r>
        <w:rPr>
          <w:rFonts w:ascii="Arial" w:hAnsi="Arial" w:cs="Arial"/>
        </w:rPr>
        <w:t xml:space="preserve">Atender às solic</w:t>
      </w:r>
      <w:r>
        <w:rPr>
          <w:rFonts w:ascii="Arial" w:hAnsi="Arial" w:cs="Arial"/>
        </w:rPr>
        <w:t xml:space="preserve">itações de testes, inspeções, avaliações técnicas, amostragens ou conferências de qualidade eventualmente exigidas pela CONT</w:t>
      </w:r>
      <w:r>
        <w:rPr>
          <w:rFonts w:ascii="Arial" w:hAnsi="Arial" w:cs="Arial"/>
        </w:rPr>
        <w:t xml:space="preserve">RATANTE, especialmente no que se refere ao desempenho, funcionalidade, segurança, durabilidade e conformidade dos equipamentos, ferramentas e materiais fornecidos, em relação às especificações técnicas estabelecidas no Termo de Referência e neste Contrato.</w:t>
      </w: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w:t>
      </w:r>
      <w:r>
        <w:rPr>
          <w:rFonts w:ascii="Arial" w:hAnsi="Arial" w:cs="Arial"/>
          <w:b/>
        </w:rPr>
        <w:t xml:space="preserve">5</w:t>
      </w:r>
      <w:r>
        <w:rPr>
          <w:rFonts w:ascii="Arial" w:hAnsi="Arial" w:cs="Arial"/>
          <w:b/>
        </w:rPr>
        <w:t xml:space="preserve">.</w:t>
      </w:r>
      <w:r>
        <w:rPr>
          <w:rFonts w:ascii="Arial" w:hAnsi="Arial" w:cs="Arial"/>
        </w:rPr>
        <w:t xml:space="preserve"> A CONTRATANTE poderá, a seu critério, realizar análise por amostragem, a qualquer tempo, sobre lotes ou grupos de produtos en</w:t>
      </w:r>
      <w:r>
        <w:rPr>
          <w:rFonts w:ascii="Arial" w:hAnsi="Arial" w:cs="Arial"/>
        </w:rPr>
        <w:t xml:space="preserve">tregues, para verificação de conformidade, qualidade e atendimento às especificações contratadas.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w:t>
      </w:r>
      <w:r>
        <w:rPr>
          <w:rFonts w:ascii="Arial" w:hAnsi="Arial" w:cs="Arial"/>
          <w:b/>
        </w:rPr>
        <w:t xml:space="preserve">6</w:t>
      </w:r>
      <w:r>
        <w:rPr>
          <w:rFonts w:ascii="Arial" w:hAnsi="Arial" w:cs="Arial"/>
          <w:b/>
        </w:rPr>
        <w:t xml:space="preserve">.</w:t>
      </w:r>
      <w:r>
        <w:rPr>
          <w:rFonts w:ascii="Arial" w:hAnsi="Arial" w:cs="Arial"/>
        </w:rPr>
        <w:t xml:space="preserve"> A CONTRATADA deverá observar os horários e locais definidos pela CONTRATANTE e atender às exigências legais aplicáveis à comercialização e ao fornecimento, além dos padrões e condições estabelecidos no Termo de Referência, no Edital e neste Contrato.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w:t>
      </w:r>
      <w:r>
        <w:rPr>
          <w:rFonts w:ascii="Arial" w:hAnsi="Arial" w:cs="Arial"/>
          <w:b/>
        </w:rPr>
        <w:t xml:space="preserve">7</w:t>
      </w:r>
      <w:r>
        <w:rPr>
          <w:rFonts w:ascii="Arial" w:hAnsi="Arial" w:cs="Arial"/>
        </w:rPr>
        <w:t xml:space="preserve">. Os produtos deverão ser entregues devidamente acondicionados, em embalagem adequada à sua conservação e transporte, de modo a preservar sua integridade</w:t>
      </w:r>
      <w:r>
        <w:rPr>
          <w:rFonts w:ascii="Arial" w:hAnsi="Arial" w:cs="Arial"/>
        </w:rPr>
        <w:t xml:space="preserve">, qualidade e apresentação até o recebimento pela CONTRATANTE.</w:t>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7.9.</w:t>
      </w:r>
      <w:r>
        <w:rPr>
          <w:rFonts w:ascii="Arial" w:hAnsi="Arial" w:cs="Arial"/>
        </w:rPr>
        <w:t xml:space="preserve"> O recebimento do objeto ocorrerá na forma abaixo:</w:t>
      </w:r>
      <w:r>
        <w:rPr>
          <w:rFonts w:ascii="Arial" w:hAnsi="Arial" w:cs="Arial"/>
        </w:rPr>
      </w:r>
    </w:p>
    <w:p>
      <w:pPr>
        <w:pStyle w:val="828"/>
        <w:pBdr/>
        <w:tabs>
          <w:tab w:val="left" w:leader="none" w:pos="3514"/>
        </w:tabs>
        <w:spacing/>
        <w:ind/>
        <w:jc w:val="both"/>
        <w:rPr>
          <w:rFonts w:ascii="Arial" w:hAnsi="Arial" w:cs="Arial"/>
          <w:b/>
        </w:rPr>
      </w:pPr>
      <w:r>
        <w:rPr>
          <w:rFonts w:ascii="Arial" w:hAnsi="Arial" w:cs="Arial"/>
          <w:b/>
        </w:rPr>
      </w:r>
      <w:r>
        <w:rPr>
          <w:rFonts w:ascii="Arial" w:hAnsi="Arial" w:cs="Arial"/>
          <w:b/>
        </w:rPr>
      </w:r>
    </w:p>
    <w:p>
      <w:pPr>
        <w:pStyle w:val="828"/>
        <w:pBdr/>
        <w:tabs>
          <w:tab w:val="left" w:leader="none" w:pos="3514"/>
        </w:tabs>
        <w:spacing/>
        <w:ind/>
        <w:jc w:val="both"/>
        <w:rPr>
          <w:rFonts w:ascii="Arial" w:hAnsi="Arial" w:cs="Arial"/>
        </w:rPr>
      </w:pPr>
      <w:r>
        <w:rPr>
          <w:rFonts w:ascii="Arial" w:hAnsi="Arial" w:cs="Arial"/>
          <w:b/>
        </w:rPr>
        <w:t xml:space="preserve">7.9.1</w:t>
      </w:r>
      <w:r>
        <w:rPr>
          <w:rFonts w:ascii="Arial" w:hAnsi="Arial" w:cs="Arial"/>
        </w:rPr>
        <w:t xml:space="preserve">. O rece</w:t>
      </w:r>
      <w:r>
        <w:rPr>
          <w:rFonts w:ascii="Arial" w:hAnsi="Arial" w:cs="Arial"/>
        </w:rPr>
        <w:t xml:space="preserve">bimento provisório será realizado no ato da entrega, para verificação das quantidades, das especificações técnicas, da qualidade e da conformidade com as condições estabelecidas no Termo de Referência, no Edital, na proposta da CONTRATADA e neste Contrato;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7.9.2</w:t>
      </w:r>
      <w:r>
        <w:rPr>
          <w:rFonts w:ascii="Arial" w:hAnsi="Arial" w:cs="Arial"/>
        </w:rPr>
        <w:t xml:space="preserve">. O recebimento definitivo ocorrerá após a verificação detalhada da conformidade dos materiais com as especificações </w:t>
      </w:r>
      <w:r>
        <w:rPr>
          <w:rFonts w:ascii="Arial" w:hAnsi="Arial" w:cs="Arial"/>
        </w:rPr>
        <w:t xml:space="preserve">contratadas, no prazo de até 05 (cinco) dias úteis, mediante ateste do servidor ou comissão responsável pela fiscalização contratual;</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7.9.3.</w:t>
      </w:r>
      <w:r>
        <w:rPr>
          <w:rFonts w:ascii="Arial" w:hAnsi="Arial" w:cs="Arial"/>
        </w:rPr>
        <w:t xml:space="preserve"> Os materiais poderão ser rejeitados, no todo ou em parte, quando estiverem em desacord</w:t>
      </w:r>
      <w:r>
        <w:rPr>
          <w:rFonts w:ascii="Arial" w:hAnsi="Arial" w:cs="Arial"/>
        </w:rPr>
        <w:t xml:space="preserve">o com as especificações constantes no Termo de Referência, no Edital, na proposta da CONTRATADA e neste Contrato, devendo ser substituídos no prazo de até 05 (cinco) dias úteis, às expensas da CONTRATADA, sem prejuízo da aplicação das penalidades cabíveis;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7.9.4.</w:t>
      </w:r>
      <w:r>
        <w:rPr>
          <w:rFonts w:ascii="Arial" w:hAnsi="Arial" w:cs="Arial"/>
        </w:rPr>
        <w:t xml:space="preserve"> O prazo para o rece</w:t>
      </w:r>
      <w:r>
        <w:rPr>
          <w:rFonts w:ascii="Arial" w:hAnsi="Arial" w:cs="Arial"/>
        </w:rPr>
        <w:t xml:space="preserve">bimento definitivo poderá ser excepcionalmente prorrogado, de forma justificada, quando houver necessidade de diligências para aferição do atendimento das exigências contratuais;</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7.9.5</w:t>
      </w:r>
      <w:r>
        <w:rPr>
          <w:rFonts w:ascii="Arial" w:hAnsi="Arial" w:cs="Arial"/>
        </w:rPr>
        <w:t xml:space="preserve">. No caso de controvérsia sobre a execução do objeto, quanto à </w:t>
      </w:r>
      <w:r>
        <w:rPr>
          <w:rFonts w:ascii="Arial" w:hAnsi="Arial" w:cs="Arial"/>
        </w:rPr>
        <w:t xml:space="preserve">dimensão, qualidade e quantidade, deverá ser observado o disposto no art. 143 da Lei nº 14.133/2021, comunicando-se a CONTRATADA para emissão de Nota Fiscal relativamente à parcela incontroversa da execução do objeto, para efeito de liquidação e pagamento;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7.9.6</w:t>
      </w:r>
      <w:r>
        <w:rPr>
          <w:rFonts w:ascii="Arial" w:hAnsi="Arial" w:cs="Arial"/>
        </w:rPr>
        <w:t xml:space="preserve">.</w:t>
      </w:r>
      <w:r>
        <w:rPr>
          <w:rFonts w:ascii="Arial" w:hAnsi="Arial" w:cs="Arial"/>
        </w:rPr>
        <w:t xml:space="preserve"> O prazo para solução, pela CONTRATAD</w:t>
      </w:r>
      <w:r>
        <w:rPr>
          <w:rFonts w:ascii="Arial" w:hAnsi="Arial" w:cs="Arial"/>
        </w:rPr>
        <w:t xml:space="preserve">A, de inconsistências na execução do objeto ou para saneamento da Nota Fiscal, ou de instrumento de cobrança equivalente, verificadas pela CONTRATANTE durante a análise prévia à liquidação da despesa, não será computado para fins de recebimento definitivo.</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7.10</w:t>
      </w:r>
      <w:r>
        <w:rPr>
          <w:rFonts w:ascii="Arial" w:hAnsi="Arial" w:cs="Arial"/>
        </w:rPr>
        <w:t xml:space="preserve">. O custo de transporte dos bens cobertos pela garantia será de responsabilidade da CONTRATADA.</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7.11</w:t>
      </w:r>
      <w:r>
        <w:rPr>
          <w:rFonts w:ascii="Arial" w:hAnsi="Arial" w:cs="Arial"/>
        </w:rPr>
        <w:t xml:space="preserve">. O recebimento provisório ou definitivo não excluirá a responsabilidade civil, administrativa e profissional da</w:t>
      </w:r>
      <w:r>
        <w:rPr>
          <w:rFonts w:ascii="Arial" w:hAnsi="Arial" w:cs="Arial"/>
        </w:rPr>
        <w:t xml:space="preserve"> CONTRATADA pelo perfeito cumprimento do objeto, nos limites estabelecidos pela Lei nº 14.133/2021.</w:t>
      </w:r>
      <w:r>
        <w:rPr>
          <w:rFonts w:ascii="Arial" w:hAnsi="Arial" w:cs="Arial"/>
        </w:rPr>
      </w:r>
    </w:p>
    <w:p>
      <w:pPr>
        <w:pStyle w:val="828"/>
        <w:pBdr/>
        <w:tabs>
          <w:tab w:val="left" w:leader="none" w:pos="3514"/>
        </w:tabs>
        <w:spacing/>
        <w:ind/>
        <w:jc w:val="both"/>
        <w:rPr>
          <w:rFonts w:ascii="Arial" w:hAnsi="Arial" w:cs="Arial"/>
        </w:rPr>
      </w:pPr>
      <w:r>
        <w:rPr>
          <w:rFonts w:ascii="Arial" w:hAnsi="Arial" w:cs="Arial"/>
        </w:rPr>
      </w:r>
      <w:r>
        <w:rPr>
          <w:rFonts w:ascii="Arial" w:hAnsi="Arial" w:cs="Arial"/>
        </w:rPr>
      </w:r>
    </w:p>
    <w:p>
      <w:pPr>
        <w:pStyle w:val="828"/>
        <w:pBdr/>
        <w:tabs>
          <w:tab w:val="left" w:leader="none" w:pos="3514"/>
        </w:tabs>
        <w:spacing/>
        <w:ind/>
        <w:jc w:val="both"/>
        <w:rPr>
          <w:rFonts w:ascii="Arial" w:hAnsi="Arial" w:cs="Arial"/>
        </w:rPr>
      </w:pPr>
      <w:r>
        <w:rPr>
          <w:rFonts w:ascii="Arial" w:hAnsi="Arial" w:cs="Arial"/>
          <w:b/>
        </w:rPr>
        <w:t xml:space="preserve">7.12.</w:t>
      </w:r>
      <w:r>
        <w:rPr>
          <w:rFonts w:ascii="Arial" w:hAnsi="Arial" w:cs="Arial"/>
        </w:rPr>
        <w:t xml:space="preserve"> A CONTRATADA ficará obrigada a corrigir ou substituir, às suas expensas, no todo ou em parte, o objeto contratado em que se verificarem vícios, defeitos ou incorreções resultantes dos materiais fornecidos.</w:t>
      </w:r>
      <w:r>
        <w:rPr>
          <w:rFonts w:ascii="Arial" w:hAnsi="Arial" w:cs="Arial"/>
        </w:rPr>
      </w:r>
    </w:p>
    <w:p>
      <w:pPr>
        <w:pStyle w:val="828"/>
        <w:pBdr/>
        <w:spacing/>
        <w:ind/>
        <w:jc w:val="both"/>
        <w:rPr>
          <w:rStyle w:val="905"/>
          <w:rFonts w:ascii="Arial" w:hAnsi="Arial" w:eastAsia="Calibri" w:cs="Arial"/>
          <w:b/>
        </w:rPr>
      </w:pPr>
      <w:r>
        <w:rPr>
          <w:rStyle w:val="905"/>
          <w:rFonts w:ascii="Arial" w:hAnsi="Arial" w:eastAsia="Calibri" w:cs="Arial"/>
          <w:b/>
        </w:rPr>
      </w:r>
      <w:r>
        <w:rPr>
          <w:rStyle w:val="905"/>
          <w:rFonts w:ascii="Arial" w:hAnsi="Arial" w:eastAsia="Calibri" w:cs="Arial"/>
          <w:b/>
        </w:rPr>
      </w:r>
    </w:p>
    <w:p>
      <w:pPr>
        <w:pStyle w:val="828"/>
        <w:pBdr/>
        <w:spacing/>
        <w:ind/>
        <w:jc w:val="both"/>
        <w:rPr>
          <w:rFonts w:ascii="Arial" w:hAnsi="Arial" w:cs="Arial"/>
        </w:rPr>
      </w:pPr>
      <w:r>
        <w:rPr>
          <w:rStyle w:val="905"/>
          <w:rFonts w:ascii="Arial" w:hAnsi="Arial" w:eastAsia="Calibri" w:cs="Arial"/>
          <w:b/>
        </w:rPr>
        <w:t xml:space="preserve">CLÁUSULA OITAVA – DAS OBRIGAÇÕES DA CONTRATANTE:</w:t>
      </w: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rPr>
      </w:r>
      <w:r>
        <w:rPr>
          <w:rFonts w:ascii="Arial" w:hAnsi="Arial" w:cs="Arial"/>
        </w:rPr>
      </w:r>
    </w:p>
    <w:p>
      <w:pPr>
        <w:pStyle w:val="828"/>
        <w:pBdr/>
        <w:spacing/>
        <w:ind w:right="-5"/>
        <w:jc w:val="both"/>
        <w:rPr>
          <w:rFonts w:ascii="Arial" w:hAnsi="Arial" w:cs="Arial"/>
        </w:rPr>
      </w:pPr>
      <w:r>
        <w:rPr>
          <w:rStyle w:val="905"/>
          <w:rFonts w:ascii="Arial" w:hAnsi="Arial" w:eastAsia="Calibri" w:cs="Arial"/>
          <w:b/>
        </w:rPr>
        <w:t xml:space="preserve">8.1.</w:t>
      </w:r>
      <w:r>
        <w:rPr>
          <w:rStyle w:val="905"/>
          <w:rFonts w:ascii="Arial" w:hAnsi="Arial" w:eastAsia="Calibri" w:cs="Arial"/>
        </w:rPr>
        <w:t xml:space="preserve"> Constituem obrigações da </w:t>
      </w:r>
      <w:r>
        <w:rPr>
          <w:rStyle w:val="905"/>
          <w:rFonts w:ascii="Arial" w:hAnsi="Arial" w:eastAsia="Calibri" w:cs="Arial"/>
          <w:b/>
        </w:rPr>
        <w:t xml:space="preserve">CONTRATANTE</w:t>
      </w:r>
      <w:r>
        <w:rPr>
          <w:rStyle w:val="905"/>
          <w:rFonts w:ascii="Arial" w:hAnsi="Arial" w:eastAsia="Calibri" w:cs="Arial"/>
        </w:rPr>
        <w:t xml:space="preserve">: </w:t>
      </w:r>
      <w:r>
        <w:rPr>
          <w:rFonts w:ascii="Arial" w:hAnsi="Arial" w:cs="Arial"/>
        </w:rPr>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8.2.</w:t>
      </w:r>
      <w:r>
        <w:rPr>
          <w:rFonts w:ascii="Arial" w:hAnsi="Arial" w:cs="Arial"/>
        </w:rPr>
        <w:t xml:space="preserve"> Cumprir todos os compromissos financeiros assumidos com a CONTRATADA, efetuando os pagamentos na fo</w:t>
      </w:r>
      <w:r>
        <w:rPr>
          <w:rFonts w:ascii="Arial" w:hAnsi="Arial" w:cs="Arial"/>
        </w:rPr>
        <w:t xml:space="preserve">rma e nos prazos estabelecidos neste Contrato.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8.3</w:t>
      </w:r>
      <w:r>
        <w:rPr>
          <w:rFonts w:ascii="Arial" w:hAnsi="Arial" w:cs="Arial"/>
        </w:rPr>
        <w:t xml:space="preserve">. Fornecer e colocar à disposição da CONTRATADA todos os elementos, documentos, informações e esclarecimentos que se fizerem necessários ao fiel cumprimento do objeto contratado.</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8.4.</w:t>
      </w:r>
      <w:r>
        <w:rPr>
          <w:rFonts w:ascii="Arial" w:hAnsi="Arial" w:cs="Arial"/>
        </w:rPr>
        <w:t xml:space="preserve"> Notificar formal e tempestivamente a CONTRATADA acerca de irregularidades, falhas ou inconformidades observadas na execução do objeto contratual.</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8.5</w:t>
      </w:r>
      <w:r>
        <w:rPr>
          <w:rFonts w:ascii="Arial" w:hAnsi="Arial" w:cs="Arial"/>
        </w:rPr>
        <w:t xml:space="preserve">. Notificar a CONTRATADA, por escrito, acerca da aplicação de multas, penalidades e quaisquer débitos de sua responsabilidade, as</w:t>
      </w:r>
      <w:r>
        <w:rPr>
          <w:rFonts w:ascii="Arial" w:hAnsi="Arial" w:cs="Arial"/>
        </w:rPr>
        <w:t xml:space="preserve">segurados o contraditório e a ampla defesa, na forma da lei.</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8.6.</w:t>
      </w:r>
      <w:r>
        <w:rPr>
          <w:rFonts w:ascii="Arial" w:hAnsi="Arial" w:cs="Arial"/>
        </w:rPr>
        <w:t xml:space="preserve"> Acompanhar a execução do objeto contratual, podendo intervir, quando necessário, para fins de ajustes, correções ou suspensão do fornecimento, observadas as disposições deste Contrato e da legislação aplicável.</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8.7.</w:t>
      </w:r>
      <w:r>
        <w:rPr>
          <w:rFonts w:ascii="Arial" w:hAnsi="Arial" w:cs="Arial"/>
        </w:rPr>
        <w:t xml:space="preserve"> Fiscalizar a execução do objeto contratual, por meio de representante formalmente designado para essa finalidade, podendo solicitar à CONTRATADA as providências necessárias ao exato cumprimento das obrigações assumidas, as quais d</w:t>
      </w:r>
      <w:r>
        <w:rPr>
          <w:rFonts w:ascii="Arial" w:hAnsi="Arial" w:cs="Arial"/>
        </w:rPr>
        <w:t xml:space="preserve">everão ser atendidas ou justificadas de imediato, nos termos da Lei nº 14.133/2021 e do Decreto Municipal nº 11.685/2023.</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8.8</w:t>
      </w:r>
      <w:r>
        <w:rPr>
          <w:rFonts w:ascii="Arial" w:hAnsi="Arial" w:cs="Arial"/>
        </w:rPr>
        <w:t xml:space="preserve">. A gestão do contrato ficará a cargo da Secretaria Municipal de </w:t>
      </w:r>
      <w:r>
        <w:rPr>
          <w:rFonts w:ascii="Arial" w:hAnsi="Arial" w:cs="Arial"/>
        </w:rPr>
        <w:t xml:space="preserve">Saude</w:t>
      </w:r>
      <w:r>
        <w:rPr>
          <w:rFonts w:ascii="Arial" w:hAnsi="Arial" w:cs="Arial"/>
        </w:rPr>
        <w:t xml:space="preserve">, por intermédio de sua titular, Sr. </w:t>
      </w:r>
      <w:r>
        <w:rPr>
          <w:rFonts w:ascii="Arial" w:hAnsi="Arial" w:cs="Arial"/>
        </w:rPr>
        <w:t xml:space="preserve">MYKAELL THIAGO DOS SANTOS VITORINO BANDEIRA</w:t>
      </w:r>
      <w:r>
        <w:rPr>
          <w:rFonts w:ascii="Arial" w:hAnsi="Arial" w:cs="Arial"/>
        </w:rPr>
        <w:t xml:space="preserve">, ou de quem legalmente a substituir, cabendo à unidade competente promover a designação formal, mediante portaria, do(s) servidor(es) responsável(is) pelo acompanhamento e fiscalização da execução contratual.</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8.9</w:t>
      </w:r>
      <w:r>
        <w:rPr>
          <w:rFonts w:ascii="Arial" w:hAnsi="Arial" w:cs="Arial"/>
        </w:rPr>
        <w:t xml:space="preserve">. O pagamento da Nota Fi</w:t>
      </w:r>
      <w:r>
        <w:rPr>
          <w:rFonts w:ascii="Arial" w:hAnsi="Arial" w:cs="Arial"/>
        </w:rPr>
        <w:t xml:space="preserve">scal apresentada pela CONTRATADA ficará condicionado ao atesto do fiscal do contrato ou à juntada do respectivo relatório de fiscalização, nos termos da regulamentação aplicável e da Recomendação Técnica nº 21/2014, no que couber.</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8.10</w:t>
      </w:r>
      <w:r>
        <w:rPr>
          <w:rFonts w:ascii="Arial" w:hAnsi="Arial" w:cs="Arial"/>
        </w:rPr>
        <w:t xml:space="preserve">. A fiscalização exercida pela CONTRATANTE não exclui nem reduz a responsabilidade da CONTRATADA pelos danos causados diretamente à Administração ou a terceiros, decorrentes de culpa ou dolo na execução do contrato, nos termos da legislação vigente.</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8.11</w:t>
      </w:r>
      <w:r>
        <w:rPr>
          <w:rFonts w:ascii="Arial" w:hAnsi="Arial" w:cs="Arial"/>
        </w:rPr>
        <w:t xml:space="preserve">. Aplicar as sanções ad</w:t>
      </w:r>
      <w:r>
        <w:rPr>
          <w:rFonts w:ascii="Arial" w:hAnsi="Arial" w:cs="Arial"/>
        </w:rPr>
        <w:t xml:space="preserve">ministrativas e contratuais cabíveis em caso de inadimplemento, assegurados o contraditório e a ampla defesa.</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8.12</w:t>
      </w:r>
      <w:r>
        <w:rPr>
          <w:rFonts w:ascii="Arial" w:hAnsi="Arial" w:cs="Arial"/>
        </w:rPr>
        <w:t xml:space="preserve">. Rejeitar, no todo ou em parte, os bens entregues em desacordo com as especificações constantes neste Contrato, no Termo de Referência, no Edital e na proposta da CONTRATADA.</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8.13</w:t>
      </w:r>
      <w:r>
        <w:rPr>
          <w:rFonts w:ascii="Arial" w:hAnsi="Arial" w:cs="Arial"/>
        </w:rPr>
        <w:t xml:space="preserve">. Disponibilizar local, data e horário para o recebimento dos itens, conforme a necessidade da Administração e as condições previamente estabelecidas.</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8.14.</w:t>
      </w:r>
      <w:r>
        <w:rPr>
          <w:rFonts w:ascii="Arial" w:hAnsi="Arial" w:cs="Arial"/>
        </w:rPr>
        <w:t xml:space="preserve"> Proporcionar as condições necessárias à boa execução das obri</w:t>
      </w:r>
      <w:r>
        <w:rPr>
          <w:rFonts w:ascii="Arial" w:hAnsi="Arial" w:cs="Arial"/>
        </w:rPr>
        <w:t xml:space="preserve">gações contratuais, inclusive permitindo, quando necessário, o acesso de empregados, prepostos ou representantes da CONTRATADA às suas dependências, desde que devidamente identificados e observadas as normas internas da Administração.</w:t>
      </w:r>
      <w:r>
        <w:rPr>
          <w:rFonts w:ascii="Arial" w:hAnsi="Arial" w:cs="Arial"/>
        </w:rPr>
      </w:r>
    </w:p>
    <w:p>
      <w:pPr>
        <w:pStyle w:val="828"/>
        <w:pBdr/>
        <w:spacing/>
        <w:ind/>
        <w:jc w:val="both"/>
        <w:rPr>
          <w:rFonts w:ascii="Arial" w:hAnsi="Arial" w:cs="Arial"/>
        </w:rPr>
      </w:pPr>
      <w:r>
        <w:rPr>
          <w:rStyle w:val="905"/>
          <w:rFonts w:ascii="Arial" w:hAnsi="Arial" w:eastAsia="Calibri" w:cs="Arial"/>
          <w:b/>
        </w:rPr>
        <w:t xml:space="preserve">CLÁUSULA NONA – DA DOTAÇÃO ORÇAMENTÁRIA: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rPr>
          <w:rFonts w:ascii="Arial" w:hAnsi="Arial" w:cs="Arial"/>
        </w:rPr>
      </w:pPr>
      <w:r>
        <w:rPr>
          <w:rFonts w:ascii="Arial" w:hAnsi="Arial" w:cs="Arial"/>
          <w:b/>
        </w:rPr>
        <w:t xml:space="preserve">9.1.</w:t>
      </w:r>
      <w:r>
        <w:rPr>
          <w:rFonts w:ascii="Arial" w:hAnsi="Arial" w:cs="Arial"/>
        </w:rPr>
        <w:t xml:space="preserve"> As despesas decorrentes da presente contratação correrão à conta de recursos específicos consignados no Orçamento deste exercício:</w:t>
      </w:r>
      <w:r>
        <w:rPr>
          <w:rFonts w:ascii="Arial" w:hAnsi="Arial" w:cs="Arial"/>
        </w:rPr>
      </w:r>
    </w:p>
    <w:p>
      <w:pPr>
        <w:pStyle w:val="829"/>
        <w:numPr>
          <w:ilvl w:val="0"/>
          <w:numId w:val="0"/>
        </w:numPr>
        <w:pBdr/>
        <w:spacing w:after="0" w:before="0"/>
        <w:ind/>
        <w:jc w:val="both"/>
        <w:rPr>
          <w:rFonts w:eastAsia="SimSun"/>
          <w:sz w:val="20"/>
          <w:szCs w:val="20"/>
          <w:lang w:val="pt-BR"/>
        </w:rPr>
      </w:pPr>
      <w:r>
        <w:rPr>
          <w:rFonts w:eastAsia="SimSun"/>
          <w:sz w:val="20"/>
          <w:szCs w:val="20"/>
          <w:lang w:val="pt-BR"/>
        </w:rPr>
      </w:r>
      <w:r>
        <w:rPr>
          <w:rFonts w:eastAsia="SimSun"/>
          <w:sz w:val="20"/>
          <w:szCs w:val="20"/>
          <w:lang w:val="pt-BR"/>
        </w:rPr>
      </w:r>
    </w:p>
    <w:p>
      <w:pPr>
        <w:pStyle w:val="828"/>
        <w:pBdr/>
        <w:spacing/>
        <w:ind/>
        <w:jc w:val="both"/>
        <w:rPr>
          <w:b/>
          <w:u w:val="single"/>
        </w:rPr>
      </w:pPr>
      <w:r>
        <w:rPr>
          <w:b/>
          <w:u w:val="single"/>
        </w:rPr>
      </w:r>
      <w:r>
        <w:rPr>
          <w:b/>
          <w:u w:val="single"/>
        </w:rPr>
      </w:r>
    </w:p>
    <w:tbl>
      <w:tblPr>
        <w:tblInd w:w="848" w:type="dxa"/>
        <w:tblW w:w="8537"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62"/>
        <w:gridCol w:w="6675"/>
      </w:tblGrid>
      <w:tr>
        <w:trPr>
          <w:trHeight w:val="141"/>
        </w:trPr>
        <w:tc>
          <w:tcPr>
            <w:gridSpan w:val="2"/>
            <w:tcBorders>
              <w:top w:val="single" w:color="auto" w:sz="4" w:space="0"/>
              <w:left w:val="single" w:color="auto" w:sz="4" w:space="0"/>
              <w:bottom w:val="single" w:color="auto" w:sz="4" w:space="0"/>
              <w:right w:val="single" w:color="auto" w:sz="4" w:space="0"/>
            </w:tcBorders>
            <w:tcW w:w="8537" w:type="dxa"/>
            <w:vAlign w:val="center"/>
            <w:textDirection w:val="lrTb"/>
            <w:noWrap w:val="false"/>
          </w:tcPr>
          <w:p>
            <w:pPr>
              <w:pStyle w:val="828"/>
              <w:pBdr/>
              <w:spacing/>
              <w:ind/>
              <w:jc w:val="center"/>
              <w:rPr/>
            </w:pPr>
            <w:r>
              <w:rPr>
                <w:b/>
                <w:color w:val="000000"/>
                <w:lang w:eastAsia="pt-BR"/>
              </w:rPr>
              <w:t xml:space="preserve">CLASSIFICAÇÃO ORÇAMENTÁRIA DA DESPESA</w:t>
            </w:r>
            <w:r/>
          </w:p>
        </w:tc>
      </w:tr>
      <w:tr>
        <w:trPr>
          <w:trHeight w:val="141"/>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Unidade</w:t>
            </w:r>
            <w:r>
              <w:t xml:space="preserve">:</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014 – FUNDO MUNICIPAL DE SAÚDE</w:t>
            </w:r>
            <w:r/>
          </w:p>
        </w:tc>
      </w:tr>
      <w:tr>
        <w:trPr>
          <w:trHeight w:val="160"/>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10.122.2204.1041 – EQUIPAR A GESTÃO DO SUS</w:t>
            </w:r>
            <w:r/>
          </w:p>
        </w:tc>
      </w:tr>
      <w:tr>
        <w:trPr>
          <w:trHeight w:val="152"/>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4.4.90.52.00.00 – EQUIPAMENTOS E MATERIAL PERMANENTE</w:t>
            </w:r>
            <w:r/>
          </w:p>
        </w:tc>
      </w:tr>
      <w:tr>
        <w:trPr>
          <w:trHeight w:val="155"/>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b/>
              </w:rPr>
            </w:pPr>
            <w:r>
              <w:rPr>
                <w:b/>
              </w:rPr>
              <w:t xml:space="preserve">699</w:t>
            </w:r>
            <w:r>
              <w:rPr>
                <w:b/>
              </w:rPr>
            </w:r>
          </w:p>
        </w:tc>
      </w:tr>
      <w:tr>
        <w:trPr>
          <w:trHeight w:val="98"/>
        </w:trPr>
        <w:tc>
          <w:tcPr>
            <w:tcBorders>
              <w:top w:val="single" w:color="auto" w:sz="4" w:space="0"/>
              <w:left w:val="single" w:color="auto" w:sz="4" w:space="0"/>
              <w:bottom w:val="single" w:color="auto" w:sz="4" w:space="0"/>
              <w:right w:val="single" w:color="auto" w:sz="4" w:space="0"/>
            </w:tcBorders>
            <w:tcW w:w="1862" w:type="dxa"/>
            <w:vAlign w:val="center"/>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75" w:type="dxa"/>
            <w:vAlign w:val="center"/>
            <w:textDirection w:val="lrTb"/>
            <w:noWrap w:val="false"/>
          </w:tcPr>
          <w:p>
            <w:pPr>
              <w:pStyle w:val="828"/>
              <w:pBdr/>
              <w:spacing/>
              <w:ind/>
              <w:rPr/>
            </w:pPr>
            <w:r>
              <w:t xml:space="preserve">1.500.1002000</w:t>
            </w:r>
            <w:r/>
          </w:p>
        </w:tc>
      </w:tr>
    </w:tbl>
    <w:p>
      <w:pPr>
        <w:pStyle w:val="828"/>
        <w:pBdr/>
        <w:spacing/>
        <w:ind/>
        <w:jc w:val="both"/>
        <w:rPr>
          <w:b/>
          <w:u w:val="single"/>
        </w:rPr>
      </w:pPr>
      <w:r>
        <w:rPr>
          <w:b/>
          <w:u w:val="single"/>
        </w:rPr>
      </w:r>
      <w:r>
        <w:rPr>
          <w:b/>
          <w:u w:val="single"/>
        </w:rPr>
      </w:r>
    </w:p>
    <w:tbl>
      <w:tblPr>
        <w:tblInd w:w="848" w:type="dxa"/>
        <w:tblW w:w="8525"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62"/>
        <w:gridCol w:w="6663"/>
      </w:tblGrid>
      <w:tr>
        <w:trPr>
          <w:trHeight w:val="151"/>
        </w:trPr>
        <w:tc>
          <w:tcPr>
            <w:gridSpan w:val="2"/>
            <w:tcBorders>
              <w:top w:val="single" w:color="auto" w:sz="4" w:space="0"/>
              <w:left w:val="single" w:color="auto" w:sz="4" w:space="0"/>
              <w:bottom w:val="single" w:color="auto" w:sz="4" w:space="0"/>
              <w:right w:val="single" w:color="auto" w:sz="4" w:space="0"/>
            </w:tcBorders>
            <w:tcW w:w="8525"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51"/>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014 – FUNDO MUNICIPAL DE SAÚDE </w:t>
            </w:r>
            <w:r/>
          </w:p>
        </w:tc>
      </w:tr>
      <w:tr>
        <w:trPr>
          <w:trHeight w:val="170"/>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10.301.2202.1036 – EQUIPAR A ATENÇÃO PRIMÁRIA À SAÚDE - APS</w:t>
            </w:r>
            <w:r/>
          </w:p>
        </w:tc>
      </w:tr>
      <w:tr>
        <w:trPr>
          <w:trHeight w:val="108"/>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4.4.90.52.00.00 – EQUIPAMENTOS E MATERIAL PERMANENTE</w:t>
            </w:r>
            <w:r/>
          </w:p>
        </w:tc>
      </w:tr>
      <w:tr>
        <w:trPr>
          <w:trHeight w:val="162"/>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b/>
              </w:rPr>
            </w:pPr>
            <w:r>
              <w:rPr>
                <w:b/>
              </w:rPr>
              <w:t xml:space="preserve">688</w:t>
            </w:r>
            <w:r>
              <w:rPr>
                <w:b/>
              </w:rPr>
            </w:r>
          </w:p>
        </w:tc>
      </w:tr>
      <w:tr>
        <w:trPr>
          <w:trHeight w:val="98"/>
        </w:trPr>
        <w:tc>
          <w:tcPr>
            <w:tcBorders>
              <w:top w:val="single" w:color="auto" w:sz="4" w:space="0"/>
              <w:left w:val="single" w:color="auto" w:sz="4" w:space="0"/>
              <w:bottom w:val="single" w:color="auto" w:sz="4" w:space="0"/>
              <w:right w:val="single" w:color="auto" w:sz="4" w:space="0"/>
            </w:tcBorders>
            <w:tcW w:w="1862"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1.500.1002000</w:t>
            </w:r>
            <w:r/>
          </w:p>
        </w:tc>
      </w:tr>
    </w:tbl>
    <w:p>
      <w:pPr>
        <w:pStyle w:val="828"/>
        <w:pBdr/>
        <w:spacing/>
        <w:ind/>
        <w:jc w:val="both"/>
        <w:rPr>
          <w:b/>
          <w:u w:val="single"/>
        </w:rPr>
      </w:pPr>
      <w:r>
        <w:rPr>
          <w:b/>
          <w:u w:val="single"/>
        </w:rPr>
      </w:r>
      <w:r>
        <w:rPr>
          <w:b/>
          <w:u w:val="single"/>
        </w:rPr>
      </w:r>
    </w:p>
    <w:tbl>
      <w:tblPr>
        <w:tblInd w:w="835" w:type="dxa"/>
        <w:tblW w:w="8538"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63"/>
        <w:gridCol w:w="6675"/>
      </w:tblGrid>
      <w:tr>
        <w:trPr>
          <w:trHeight w:val="130"/>
        </w:trPr>
        <w:tc>
          <w:tcPr>
            <w:gridSpan w:val="2"/>
            <w:tcBorders>
              <w:top w:val="single" w:color="auto" w:sz="4" w:space="0"/>
              <w:left w:val="single" w:color="auto" w:sz="4" w:space="0"/>
              <w:bottom w:val="single" w:color="auto" w:sz="4" w:space="0"/>
              <w:right w:val="single" w:color="auto" w:sz="4" w:space="0"/>
            </w:tcBorders>
            <w:tcW w:w="8538"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30"/>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014 – FUNDO MUNICIPAL DE SAÚDE </w:t>
            </w:r>
            <w:r/>
          </w:p>
        </w:tc>
      </w:tr>
      <w:tr>
        <w:trPr>
          <w:trHeight w:val="170"/>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10.302.2203.1037 – EQUIPAR A MEDIA E ALTA COMPLEXIDADE</w:t>
            </w:r>
            <w:r/>
          </w:p>
        </w:tc>
      </w:tr>
      <w:tr>
        <w:trPr>
          <w:trHeight w:val="141"/>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4.4.90.52.00.00 – EQUIPAMENTOS E MATERIAL PERMANENTE</w:t>
            </w:r>
            <w:r/>
          </w:p>
        </w:tc>
      </w:tr>
      <w:tr>
        <w:trPr>
          <w:trHeight w:val="130"/>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b/>
              </w:rPr>
            </w:pPr>
            <w:r>
              <w:rPr>
                <w:b/>
              </w:rPr>
              <w:t xml:space="preserve">568</w:t>
            </w:r>
            <w:r>
              <w:rPr>
                <w:b/>
              </w:rPr>
            </w:r>
          </w:p>
        </w:tc>
      </w:tr>
      <w:tr>
        <w:trPr>
          <w:trHeight w:val="98"/>
        </w:trPr>
        <w:tc>
          <w:tcPr>
            <w:tcBorders>
              <w:top w:val="single" w:color="auto" w:sz="4" w:space="0"/>
              <w:left w:val="single" w:color="auto" w:sz="4" w:space="0"/>
              <w:bottom w:val="single" w:color="auto" w:sz="4" w:space="0"/>
              <w:right w:val="single" w:color="auto" w:sz="4" w:space="0"/>
            </w:tcBorders>
            <w:tcW w:w="1863"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1.500.1002000</w:t>
            </w:r>
            <w:r/>
          </w:p>
        </w:tc>
      </w:tr>
    </w:tbl>
    <w:p>
      <w:pPr>
        <w:pStyle w:val="828"/>
        <w:pBdr/>
        <w:spacing/>
        <w:ind/>
        <w:jc w:val="both"/>
        <w:rPr>
          <w:b/>
          <w:u w:val="single"/>
        </w:rPr>
      </w:pPr>
      <w:r>
        <w:rPr>
          <w:b/>
          <w:u w:val="single"/>
        </w:rPr>
      </w:r>
      <w:r>
        <w:rPr>
          <w:b/>
          <w:u w:val="single"/>
        </w:rPr>
      </w:r>
    </w:p>
    <w:p>
      <w:pPr>
        <w:pStyle w:val="828"/>
        <w:pBdr/>
        <w:spacing/>
        <w:ind/>
        <w:jc w:val="center"/>
        <w:rPr>
          <w:b/>
          <w:u w:val="single"/>
        </w:rPr>
      </w:pPr>
      <w:r>
        <w:rPr>
          <w:b/>
          <w:u w:val="single"/>
        </w:rPr>
        <w:t xml:space="preserve">MATERIAL DE CONSUMO</w:t>
      </w:r>
      <w:r>
        <w:rPr>
          <w:b/>
          <w:u w:val="single"/>
        </w:rPr>
      </w:r>
    </w:p>
    <w:p>
      <w:pPr>
        <w:pStyle w:val="828"/>
        <w:pBdr/>
        <w:spacing/>
        <w:ind/>
        <w:jc w:val="center"/>
        <w:rPr>
          <w:b/>
          <w:u w:val="single"/>
        </w:rPr>
      </w:pPr>
      <w:r>
        <w:rPr>
          <w:b/>
          <w:u w:val="single"/>
        </w:rPr>
      </w:r>
      <w:r>
        <w:rPr>
          <w:b/>
          <w:u w:val="single"/>
        </w:rPr>
      </w:r>
    </w:p>
    <w:tbl>
      <w:tblPr>
        <w:tblInd w:w="848" w:type="dxa"/>
        <w:tblW w:w="8512"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37"/>
        <w:gridCol w:w="6675"/>
      </w:tblGrid>
      <w:tr>
        <w:trPr>
          <w:trHeight w:val="152"/>
        </w:trPr>
        <w:tc>
          <w:tcPr>
            <w:gridSpan w:val="2"/>
            <w:tcBorders>
              <w:top w:val="single" w:color="auto" w:sz="4" w:space="0"/>
              <w:left w:val="single" w:color="auto" w:sz="4" w:space="0"/>
              <w:bottom w:val="single" w:color="auto" w:sz="4" w:space="0"/>
              <w:right w:val="single" w:color="auto" w:sz="4" w:space="0"/>
            </w:tcBorders>
            <w:tcW w:w="8512"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52"/>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014 – FUND</w:t>
            </w:r>
            <w:r>
              <w:t xml:space="preserve">O MUNICIPAL DE SAÚDE </w:t>
            </w:r>
            <w:r/>
          </w:p>
        </w:tc>
      </w:tr>
      <w:tr>
        <w:trPr>
          <w:trHeight w:val="170"/>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10.122.2204.2205 - MANUTENÇÃO DAS AÇÕES ADMINISTRATIVAS DO FUNDO MUNICIPAL DE SAÚDE</w:t>
            </w:r>
            <w:r/>
          </w:p>
        </w:tc>
      </w:tr>
      <w:tr>
        <w:trPr>
          <w:trHeight w:val="120"/>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3.3.90.30.00.00 – MATERIAL DE CONSUMO</w:t>
            </w:r>
            <w:r/>
          </w:p>
        </w:tc>
      </w:tr>
      <w:tr>
        <w:trPr>
          <w:trHeight w:val="10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b/>
              </w:rPr>
            </w:pPr>
            <w:r>
              <w:rPr>
                <w:b/>
              </w:rPr>
              <w:t xml:space="preserve">709</w:t>
            </w:r>
            <w:r>
              <w:rPr>
                <w:b/>
              </w:rPr>
            </w:r>
          </w:p>
        </w:tc>
      </w:tr>
      <w:tr>
        <w:trPr>
          <w:trHeight w:val="9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75" w:type="dxa"/>
            <w:vAlign w:val="top"/>
            <w:textDirection w:val="lrTb"/>
            <w:noWrap w:val="false"/>
          </w:tcPr>
          <w:p>
            <w:pPr>
              <w:pStyle w:val="828"/>
              <w:pBdr/>
              <w:spacing/>
              <w:ind/>
              <w:rPr/>
            </w:pPr>
            <w:r>
              <w:t xml:space="preserve">1.500.1002000</w:t>
            </w:r>
            <w:r/>
          </w:p>
        </w:tc>
      </w:tr>
    </w:tbl>
    <w:p>
      <w:pPr>
        <w:pStyle w:val="828"/>
        <w:pBdr/>
        <w:spacing/>
        <w:ind/>
        <w:rPr/>
      </w:pPr>
      <w:r/>
      <w:r/>
    </w:p>
    <w:p>
      <w:pPr>
        <w:pStyle w:val="828"/>
        <w:pBdr/>
        <w:spacing/>
        <w:ind/>
        <w:rPr/>
      </w:pPr>
      <w:r/>
      <w:r/>
    </w:p>
    <w:tbl>
      <w:tblPr>
        <w:tblInd w:w="860" w:type="dxa"/>
        <w:tblW w:w="8488"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25"/>
        <w:gridCol w:w="6663"/>
      </w:tblGrid>
      <w:tr>
        <w:trPr>
          <w:trHeight w:val="162"/>
        </w:trPr>
        <w:tc>
          <w:tcPr>
            <w:gridSpan w:val="2"/>
            <w:tcBorders>
              <w:top w:val="single" w:color="auto" w:sz="4" w:space="0"/>
              <w:left w:val="single" w:color="auto" w:sz="4" w:space="0"/>
              <w:bottom w:val="single" w:color="auto" w:sz="4" w:space="0"/>
              <w:right w:val="single" w:color="auto" w:sz="4" w:space="0"/>
            </w:tcBorders>
            <w:tcW w:w="8488"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62"/>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014 – FUNDO MUNICIPAL DE SAÚDE </w:t>
            </w:r>
            <w:r/>
          </w:p>
        </w:tc>
      </w:tr>
      <w:tr>
        <w:trPr>
          <w:trHeight w:val="342"/>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10.301.2202.2180 - MANUTENÇÃO E CONSERVAÇÃO DA ATENÇÃO PRIMÁRIA À SAÚDE - APS E PROGRAMAS ESPECIAIS.</w:t>
            </w:r>
            <w:r/>
          </w:p>
        </w:tc>
      </w:tr>
      <w:tr>
        <w:trPr>
          <w:trHeight w:val="151"/>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Elemento da Despes</w:t>
            </w:r>
            <w:r>
              <w:t xml:space="preserve">a:</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3.3.90.30.00.00 – MATERIAL DE CONSUMO</w:t>
            </w:r>
            <w:r/>
          </w:p>
        </w:tc>
      </w:tr>
      <w:tr>
        <w:trPr>
          <w:trHeight w:val="152"/>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b/>
              </w:rPr>
            </w:pPr>
            <w:r>
              <w:rPr>
                <w:b/>
              </w:rPr>
              <w:t xml:space="preserve">673</w:t>
            </w:r>
            <w:r>
              <w:rPr>
                <w:b/>
              </w:rPr>
            </w:r>
          </w:p>
        </w:tc>
      </w:tr>
      <w:tr>
        <w:trPr>
          <w:trHeight w:val="98"/>
        </w:trPr>
        <w:tc>
          <w:tcPr>
            <w:tcBorders>
              <w:top w:val="single" w:color="auto" w:sz="4" w:space="0"/>
              <w:left w:val="single" w:color="auto" w:sz="4" w:space="0"/>
              <w:bottom w:val="single" w:color="auto" w:sz="4" w:space="0"/>
              <w:right w:val="single" w:color="auto" w:sz="4" w:space="0"/>
            </w:tcBorders>
            <w:tcW w:w="1825"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63" w:type="dxa"/>
            <w:vAlign w:val="top"/>
            <w:textDirection w:val="lrTb"/>
            <w:noWrap w:val="false"/>
          </w:tcPr>
          <w:p>
            <w:pPr>
              <w:pStyle w:val="828"/>
              <w:pBdr/>
              <w:spacing/>
              <w:ind/>
              <w:rPr/>
            </w:pPr>
            <w:r>
              <w:t xml:space="preserve">1.500.1002000</w:t>
            </w:r>
            <w:r/>
          </w:p>
        </w:tc>
      </w:tr>
    </w:tbl>
    <w:p>
      <w:pPr>
        <w:pStyle w:val="828"/>
        <w:pBdr/>
        <w:spacing/>
        <w:ind/>
        <w:rPr/>
      </w:pPr>
      <w:r/>
      <w:r/>
    </w:p>
    <w:p>
      <w:pPr>
        <w:pStyle w:val="828"/>
        <w:pBdr/>
        <w:spacing/>
        <w:ind/>
        <w:rPr/>
      </w:pPr>
      <w:r/>
      <w:r/>
    </w:p>
    <w:tbl>
      <w:tblPr>
        <w:tblInd w:w="848" w:type="dxa"/>
        <w:tblW w:w="8487"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37"/>
        <w:gridCol w:w="6650"/>
      </w:tblGrid>
      <w:tr>
        <w:trPr>
          <w:trHeight w:val="141"/>
        </w:trPr>
        <w:tc>
          <w:tcPr>
            <w:gridSpan w:val="2"/>
            <w:tcBorders>
              <w:top w:val="single" w:color="auto" w:sz="4" w:space="0"/>
              <w:left w:val="single" w:color="auto" w:sz="4" w:space="0"/>
              <w:bottom w:val="single" w:color="auto" w:sz="4" w:space="0"/>
              <w:right w:val="single" w:color="auto" w:sz="4" w:space="0"/>
            </w:tcBorders>
            <w:tcW w:w="8487"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41"/>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02 – PREFEITURA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014 – FUNDO MUNICIPAL DE SAÚDE </w:t>
            </w:r>
            <w:r/>
          </w:p>
        </w:tc>
      </w:tr>
      <w:tr>
        <w:trPr>
          <w:trHeight w:val="342"/>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10.301.2202.2180 - MANUTENÇÃO E CONSERVAÇÃO DA ATENÇÃO PRIMÁRIA À SAÚDE - APS E PROGRAMAS ESPECIAIS.</w:t>
            </w:r>
            <w:r/>
          </w:p>
        </w:tc>
      </w:tr>
      <w:tr>
        <w:trPr>
          <w:trHeight w:val="130"/>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3.3.90.30.00.00 – MATERIAL DE CONSUMO</w:t>
            </w:r>
            <w:r/>
          </w:p>
        </w:tc>
      </w:tr>
      <w:tr>
        <w:trPr>
          <w:trHeight w:val="162"/>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b/>
              </w:rPr>
            </w:pPr>
            <w:r>
              <w:rPr>
                <w:b/>
              </w:rPr>
              <w:t xml:space="preserve">674</w:t>
            </w:r>
            <w:r>
              <w:rPr>
                <w:b/>
              </w:rPr>
            </w:r>
          </w:p>
        </w:tc>
      </w:tr>
      <w:tr>
        <w:trPr>
          <w:trHeight w:val="98"/>
        </w:trPr>
        <w:tc>
          <w:tcPr>
            <w:tcBorders>
              <w:top w:val="single" w:color="auto" w:sz="4" w:space="0"/>
              <w:left w:val="single" w:color="auto" w:sz="4" w:space="0"/>
              <w:bottom w:val="single" w:color="auto" w:sz="4" w:space="0"/>
              <w:right w:val="single" w:color="auto" w:sz="4" w:space="0"/>
            </w:tcBorders>
            <w:tcW w:w="1837"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50" w:type="dxa"/>
            <w:vAlign w:val="top"/>
            <w:textDirection w:val="lrTb"/>
            <w:noWrap w:val="false"/>
          </w:tcPr>
          <w:p>
            <w:pPr>
              <w:pStyle w:val="828"/>
              <w:pBdr/>
              <w:spacing/>
              <w:ind/>
              <w:rPr/>
            </w:pPr>
            <w:r>
              <w:t xml:space="preserve">1.600.0000600</w:t>
            </w:r>
            <w:r/>
          </w:p>
        </w:tc>
      </w:tr>
    </w:tbl>
    <w:p>
      <w:pPr>
        <w:pStyle w:val="828"/>
        <w:pBdr/>
        <w:spacing/>
        <w:ind/>
        <w:rPr/>
      </w:pPr>
      <w:r/>
      <w:r/>
    </w:p>
    <w:tbl>
      <w:tblPr>
        <w:tblInd w:w="823" w:type="dxa"/>
        <w:tblW w:w="8512" w:type="dxa"/>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1875"/>
        <w:gridCol w:w="6637"/>
      </w:tblGrid>
      <w:tr>
        <w:trPr>
          <w:trHeight w:val="162"/>
        </w:trPr>
        <w:tc>
          <w:tcPr>
            <w:gridSpan w:val="2"/>
            <w:tcBorders>
              <w:top w:val="single" w:color="auto" w:sz="4" w:space="0"/>
              <w:left w:val="single" w:color="auto" w:sz="4" w:space="0"/>
              <w:bottom w:val="single" w:color="auto" w:sz="4" w:space="0"/>
              <w:right w:val="single" w:color="auto" w:sz="4" w:space="0"/>
            </w:tcBorders>
            <w:tcW w:w="8512" w:type="dxa"/>
            <w:vAlign w:val="top"/>
            <w:textDirection w:val="lrTb"/>
            <w:noWrap w:val="false"/>
          </w:tcPr>
          <w:p>
            <w:pPr>
              <w:pStyle w:val="828"/>
              <w:pBdr/>
              <w:spacing/>
              <w:ind/>
              <w:jc w:val="center"/>
              <w:rPr/>
            </w:pPr>
            <w:r>
              <w:rPr>
                <w:b/>
                <w:color w:val="000000"/>
                <w:lang w:eastAsia="pt-BR"/>
              </w:rPr>
              <w:t xml:space="preserve">CLASSIFICAÇÃO ORÇAMENTÁRIA DA DESPESA</w:t>
            </w:r>
            <w:r/>
          </w:p>
        </w:tc>
      </w:tr>
      <w:tr>
        <w:trPr>
          <w:trHeight w:val="162"/>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Órgão:</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02 – PREF</w:t>
            </w:r>
            <w:r>
              <w:t xml:space="preserve">EITURA MUNICIPAL DE RONDONÓPOLIS</w:t>
            </w:r>
            <w:r/>
          </w:p>
        </w:tc>
      </w:tr>
      <w:tr>
        <w:trPr>
          <w:trHeight w:val="148"/>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Unidade:</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014 – FUNDO MUNICIPAL DE SAÚDE </w:t>
            </w:r>
            <w:r/>
          </w:p>
        </w:tc>
      </w:tr>
      <w:tr>
        <w:trPr>
          <w:trHeight w:val="90"/>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Função Programática:</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10.302.2203.2193 - MANUTENÇÃO DOS SERVIÇOS DE MÉDIA E ALTA COMPLEXIDADE</w:t>
            </w:r>
            <w:r/>
          </w:p>
        </w:tc>
      </w:tr>
      <w:tr>
        <w:trPr>
          <w:trHeight w:val="90"/>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Elemento da Despesa:</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3.3.90.30.00.00 – MATERIAL DE CONSUMO</w:t>
            </w:r>
            <w:r/>
          </w:p>
        </w:tc>
      </w:tr>
      <w:tr>
        <w:trPr>
          <w:trHeight w:val="90"/>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Reduzido:</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b/>
              </w:rPr>
            </w:pPr>
            <w:r>
              <w:rPr>
                <w:b/>
              </w:rPr>
              <w:t xml:space="preserve">556</w:t>
            </w:r>
            <w:r>
              <w:rPr>
                <w:b/>
              </w:rPr>
            </w:r>
          </w:p>
        </w:tc>
      </w:tr>
      <w:tr>
        <w:trPr>
          <w:trHeight w:val="98"/>
        </w:trPr>
        <w:tc>
          <w:tcPr>
            <w:tcBorders>
              <w:top w:val="single" w:color="auto" w:sz="4" w:space="0"/>
              <w:left w:val="single" w:color="auto" w:sz="4" w:space="0"/>
              <w:bottom w:val="single" w:color="auto" w:sz="4" w:space="0"/>
              <w:right w:val="single" w:color="auto" w:sz="4" w:space="0"/>
            </w:tcBorders>
            <w:tcW w:w="1875" w:type="dxa"/>
            <w:vAlign w:val="top"/>
            <w:textDirection w:val="lrTb"/>
            <w:noWrap w:val="false"/>
          </w:tcPr>
          <w:p>
            <w:pPr>
              <w:pStyle w:val="828"/>
              <w:pBdr/>
              <w:spacing/>
              <w:ind/>
              <w:jc w:val="right"/>
              <w:rPr/>
            </w:pPr>
            <w:r>
              <w:t xml:space="preserve">Fonte de Recursos:</w:t>
            </w:r>
            <w:r/>
          </w:p>
        </w:tc>
        <w:tc>
          <w:tcPr>
            <w:tcBorders>
              <w:top w:val="single" w:color="auto" w:sz="4" w:space="0"/>
              <w:left w:val="single" w:color="auto" w:sz="4" w:space="0"/>
              <w:bottom w:val="single" w:color="auto" w:sz="4" w:space="0"/>
              <w:right w:val="single" w:color="auto" w:sz="4" w:space="0"/>
            </w:tcBorders>
            <w:tcW w:w="6637" w:type="dxa"/>
            <w:vAlign w:val="top"/>
            <w:textDirection w:val="lrTb"/>
            <w:noWrap w:val="false"/>
          </w:tcPr>
          <w:p>
            <w:pPr>
              <w:pStyle w:val="828"/>
              <w:pBdr/>
              <w:spacing/>
              <w:ind/>
              <w:rPr/>
            </w:pPr>
            <w:r>
              <w:t xml:space="preserve">1.500.1002000</w:t>
            </w:r>
            <w:r/>
          </w:p>
        </w:tc>
      </w:tr>
    </w:tbl>
    <w:p>
      <w:pPr>
        <w:pStyle w:val="828"/>
        <w:pBdr/>
        <w:spacing/>
        <w:ind/>
        <w:jc w:val="both"/>
        <w:rPr/>
      </w:pPr>
      <w:r/>
      <w:r/>
    </w:p>
    <w:p>
      <w:pPr>
        <w:pStyle w:val="828"/>
        <w:pBdr/>
        <w:spacing/>
        <w:ind w:right="-5"/>
        <w:rPr>
          <w:rFonts w:ascii="Arial" w:hAnsi="Arial" w:cs="Arial"/>
        </w:rPr>
      </w:pPr>
      <w:r>
        <w:rPr>
          <w:rFonts w:ascii="Arial" w:hAnsi="Arial" w:cs="Arial"/>
          <w:b/>
        </w:rPr>
        <w:t xml:space="preserve">CLÁUSULA DÉCIMA - DO VALOR E DAS CONDIÇÕES DE PAGAMENTO:</w:t>
      </w:r>
      <w:r>
        <w:rPr>
          <w:rFonts w:ascii="Arial" w:hAnsi="Arial" w:cs="Arial"/>
        </w:rPr>
      </w:r>
      <w:r>
        <w:rPr>
          <w:rFonts w:ascii="Arial" w:hAnsi="Arial" w:cs="Arial"/>
        </w:rPr>
      </w:r>
    </w:p>
    <w:p>
      <w:pPr>
        <w:pStyle w:val="828"/>
        <w:pBdr/>
        <w:spacing/>
        <w:ind w:right="-5"/>
        <w:rPr>
          <w:rFonts w:ascii="Arial" w:hAnsi="Arial" w:cs="Arial"/>
        </w:rPr>
      </w:pP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b/>
        </w:rPr>
        <w:t xml:space="preserve">10.1.</w:t>
      </w:r>
      <w:r>
        <w:rPr>
          <w:rFonts w:ascii="Arial" w:hAnsi="Arial" w:cs="Arial"/>
        </w:rPr>
        <w:t xml:space="preserve"> O valor global do presente Contrato é de </w:t>
      </w:r>
      <w:r>
        <w:rPr>
          <w:rFonts w:ascii="Arial" w:hAnsi="Arial" w:cs="Arial"/>
          <w:b/>
        </w:rPr>
        <w:t xml:space="preserve">R$ XXXXXX (..........................................), </w:t>
      </w:r>
      <w:r>
        <w:rPr>
          <w:rFonts w:ascii="Arial" w:hAnsi="Arial" w:cs="Arial"/>
        </w:rPr>
        <w:t xml:space="preserve">de acordo com a Proposta Comercial da Contratada, a serem pagos, median</w:t>
      </w:r>
      <w:r>
        <w:rPr>
          <w:rFonts w:ascii="Arial" w:hAnsi="Arial" w:cs="Arial"/>
        </w:rPr>
        <w:t xml:space="preserve">te apresentação de nota fiscal, na Tesouraria desta Prefeitura;</w:t>
      </w:r>
      <w:r>
        <w:rPr>
          <w:rFonts w:ascii="Arial" w:hAnsi="Arial" w:cs="Arial"/>
        </w:rPr>
      </w:r>
    </w:p>
    <w:p>
      <w:pPr>
        <w:pStyle w:val="828"/>
        <w:pBdr/>
        <w:spacing/>
        <w:ind w:right="-5"/>
        <w:jc w:val="both"/>
        <w:rPr>
          <w:rFonts w:ascii="Arial" w:hAnsi="Arial" w:cs="Arial"/>
        </w:rPr>
      </w:pPr>
      <w:r>
        <w:rPr>
          <w:rFonts w:ascii="Arial" w:hAnsi="Arial" w:cs="Arial"/>
        </w:rPr>
      </w:r>
      <w:r>
        <w:rPr>
          <w:rFonts w:ascii="Arial" w:hAnsi="Arial" w:cs="Arial"/>
        </w:rPr>
      </w:r>
    </w:p>
    <w:p>
      <w:pPr>
        <w:pStyle w:val="828"/>
        <w:pBdr/>
        <w:spacing/>
        <w:ind w:right="-5"/>
        <w:jc w:val="both"/>
        <w:rPr>
          <w:rFonts w:ascii="Arial" w:hAnsi="Arial" w:cs="Arial"/>
        </w:rPr>
      </w:pPr>
      <w:r>
        <w:rPr>
          <w:rStyle w:val="905"/>
          <w:rFonts w:ascii="Arial" w:hAnsi="Arial" w:eastAsia="Calibri" w:cs="Arial"/>
          <w:b/>
        </w:rPr>
        <w:t xml:space="preserve">10.2.</w:t>
      </w:r>
      <w:r>
        <w:rPr>
          <w:rStyle w:val="905"/>
          <w:rFonts w:ascii="Arial" w:hAnsi="Arial" w:eastAsia="Calibri" w:cs="Arial"/>
        </w:rPr>
        <w:t xml:space="preserve"> Nos preços supracitados estão incluídas todas as despesas relativas ao objeto contratado (tributos, seguros, encargos sociais, etc.). </w:t>
      </w: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10.3.</w:t>
      </w:r>
      <w:r>
        <w:rPr>
          <w:rFonts w:ascii="Arial" w:hAnsi="Arial" w:cs="Arial"/>
        </w:rPr>
        <w:t xml:space="preserve"> O pagamento será efetuado mediante ordem bancária emitida em favor da empresa contratada, após o recebimento definitivo dos materiais, até </w:t>
      </w:r>
      <w:r>
        <w:rPr>
          <w:rStyle w:val="905"/>
          <w:rFonts w:ascii="Arial" w:hAnsi="Arial" w:eastAsia="Calibri" w:cs="Arial"/>
        </w:rPr>
        <w:t xml:space="preserve">o 30º (trigésimo) dia</w:t>
      </w:r>
      <w:r>
        <w:rPr>
          <w:rFonts w:ascii="Arial" w:hAnsi="Arial" w:cs="Arial"/>
        </w:rPr>
        <w:t xml:space="preserve">, contados a partir da data de entrega da Nota Fiscal (ELETRÔNICA), conforme exigência prevista no Artigo 180, do RICMS (Regulamento do ICM</w:t>
      </w:r>
      <w:r>
        <w:rPr>
          <w:rFonts w:ascii="Arial" w:hAnsi="Arial" w:cs="Arial"/>
        </w:rPr>
        <w:t xml:space="preserve">S) a ser processada em duas vias, com todos os campos preenchidos discriminando valores unitários e to</w:t>
      </w:r>
      <w:r>
        <w:rPr>
          <w:rFonts w:ascii="Arial" w:hAnsi="Arial" w:cs="Arial"/>
        </w:rPr>
        <w:t xml:space="preserve">tais dos itens, sem rasuras e devidamente atestada pelo servidor responsável pelo recebimento do serviço e/ou material da Secretaria Municipal solicitante, constando, ainda, o número do banco, da agência e da conta corrente onde deseja receber seu crédito.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Style w:val="905"/>
          <w:rFonts w:ascii="Arial" w:hAnsi="Arial" w:eastAsia="Calibri" w:cs="Arial"/>
          <w:b/>
        </w:rPr>
        <w:t xml:space="preserve">10.3.1.</w:t>
      </w:r>
      <w:r>
        <w:rPr>
          <w:rStyle w:val="905"/>
          <w:rFonts w:ascii="Arial" w:hAnsi="Arial" w:eastAsia="Calibri" w:cs="Arial"/>
        </w:rPr>
        <w:t xml:space="preserve"> </w:t>
      </w:r>
      <w:r>
        <w:rPr>
          <w:rFonts w:ascii="Arial" w:hAnsi="Arial" w:cs="Arial"/>
          <w:bCs/>
        </w:rPr>
        <w:t xml:space="preserve">Apresentar, junto com a Nota Fiscal, as certidões que comprovem a regularidade com as condições de habilitação e qualificação exigidas na licita</w:t>
      </w:r>
      <w:r>
        <w:rPr>
          <w:rFonts w:ascii="Arial" w:hAnsi="Arial" w:cs="Arial"/>
          <w:bCs/>
        </w:rPr>
        <w:t xml:space="preserve">ção </w:t>
      </w:r>
      <w:r>
        <w:rPr>
          <w:rFonts w:ascii="Arial" w:hAnsi="Arial" w:cs="Arial"/>
        </w:rPr>
        <w:t xml:space="preserve">conforme ao disposto n</w:t>
      </w:r>
      <w:r>
        <w:rPr>
          <w:rFonts w:ascii="Arial" w:hAnsi="Arial" w:cs="Arial"/>
          <w:b/>
        </w:rPr>
        <w:t xml:space="preserve">o artigo 92 inciso </w:t>
      </w:r>
      <w:r>
        <w:rPr>
          <w:rFonts w:ascii="Arial" w:hAnsi="Arial" w:cs="Arial"/>
        </w:rPr>
        <w:t xml:space="preserve">XVI da Lei nº 14.133, de 01 de abril de 2021.</w:t>
      </w:r>
      <w:r>
        <w:rPr>
          <w:rFonts w:ascii="Arial" w:hAnsi="Arial" w:cs="Arial"/>
        </w:rPr>
      </w:r>
    </w:p>
    <w:p>
      <w:pPr>
        <w:pStyle w:val="828"/>
        <w:pBdr/>
        <w:spacing w:after="280" w:before="280"/>
        <w:ind w:left="1134"/>
        <w:jc w:val="both"/>
        <w:rPr>
          <w:rFonts w:ascii="Arial" w:hAnsi="Arial" w:cs="Arial"/>
        </w:rPr>
      </w:pPr>
      <w:r>
        <w:rPr>
          <w:rFonts w:ascii="Arial" w:hAnsi="Arial" w:eastAsia="Arial" w:cs="Arial"/>
        </w:rPr>
        <w:t xml:space="preserve"> </w:t>
      </w:r>
      <w:r>
        <w:rPr>
          <w:rFonts w:ascii="Arial" w:hAnsi="Arial" w:cs="Arial"/>
        </w:rPr>
        <w:t xml:space="preserve">“XVI - a obrigação do contratado de manter, durante toda a execução do contrato, em compatibilidade com as obrigações por ele assumidas, todas as condições exigidas para a habilitação na licitação, ou para a qualificação, na contratação direta;”.</w:t>
      </w:r>
      <w:r>
        <w:rPr>
          <w:rFonts w:ascii="Arial" w:hAnsi="Arial" w:cs="Arial"/>
        </w:rPr>
      </w:r>
    </w:p>
    <w:p>
      <w:pPr>
        <w:pStyle w:val="828"/>
        <w:pBdr/>
        <w:spacing/>
        <w:ind w:right="-5"/>
        <w:jc w:val="both"/>
        <w:rPr>
          <w:rFonts w:ascii="Arial" w:hAnsi="Arial" w:cs="Arial"/>
        </w:rPr>
      </w:pPr>
      <w:r>
        <w:rPr>
          <w:rStyle w:val="905"/>
          <w:rFonts w:ascii="Arial" w:hAnsi="Arial" w:eastAsia="Calibri" w:cs="Arial"/>
          <w:b/>
        </w:rPr>
        <w:t xml:space="preserve">10.3.2. </w:t>
      </w:r>
      <w:r>
        <w:rPr>
          <w:rStyle w:val="905"/>
          <w:rFonts w:ascii="Arial" w:hAnsi="Arial" w:eastAsia="Calibri" w:cs="Arial"/>
        </w:rPr>
        <w:t xml:space="preserve">Constatando-se qualquer incorreção na Nota Fiscal, bem como, qualquer outra circunstância que desaconselhe o seu pagamento, o prazo constante no item 10.3 fluirá a p</w:t>
      </w:r>
      <w:r>
        <w:rPr>
          <w:rStyle w:val="905"/>
          <w:rFonts w:ascii="Arial" w:hAnsi="Arial" w:eastAsia="Calibri" w:cs="Arial"/>
        </w:rPr>
        <w:t xml:space="preserve">artir da respectiva data de regularização. </w:t>
      </w: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rPr>
      </w:r>
      <w:r>
        <w:rPr>
          <w:rFonts w:ascii="Arial" w:hAnsi="Arial" w:cs="Arial"/>
        </w:rPr>
      </w:r>
    </w:p>
    <w:p>
      <w:pPr>
        <w:pStyle w:val="828"/>
        <w:pBdr/>
        <w:spacing/>
        <w:ind w:right="-5"/>
        <w:jc w:val="both"/>
        <w:rPr>
          <w:rStyle w:val="905"/>
          <w:rFonts w:ascii="Arial" w:hAnsi="Arial" w:eastAsia="Calibri" w:cs="Arial"/>
        </w:rPr>
      </w:pPr>
      <w:r>
        <w:rPr>
          <w:rStyle w:val="905"/>
          <w:rFonts w:ascii="Arial" w:hAnsi="Arial" w:eastAsia="Calibri" w:cs="Arial"/>
          <w:b/>
        </w:rPr>
        <w:t xml:space="preserve">10.4.</w:t>
      </w:r>
      <w:r>
        <w:rPr>
          <w:rStyle w:val="905"/>
          <w:rFonts w:ascii="Arial" w:hAnsi="Arial" w:eastAsia="Calibri" w:cs="Arial"/>
        </w:rPr>
        <w:t xml:space="preserve"> Nenhum pagamento será efetuado à Contratada enquanto pendente de liquidação qualquer obrigação, não podendo este fato ensejar direito de reajustamento de preços ou a atualização monetária.</w:t>
      </w:r>
      <w:r>
        <w:rPr>
          <w:rStyle w:val="905"/>
          <w:rFonts w:ascii="Arial" w:hAnsi="Arial" w:eastAsia="Calibri" w:cs="Arial"/>
        </w:rPr>
      </w:r>
    </w:p>
    <w:p>
      <w:pPr>
        <w:pStyle w:val="828"/>
        <w:pBdr/>
        <w:spacing/>
        <w:ind w:right="-5"/>
        <w:jc w:val="both"/>
        <w:rPr>
          <w:rStyle w:val="905"/>
          <w:rFonts w:ascii="Arial" w:hAnsi="Arial" w:eastAsia="Calibri" w:cs="Arial"/>
        </w:rPr>
      </w:pPr>
      <w:r>
        <w:rPr>
          <w:rStyle w:val="905"/>
          <w:rFonts w:ascii="Arial" w:hAnsi="Arial" w:eastAsia="Calibri" w:cs="Arial"/>
        </w:rPr>
      </w:r>
      <w:r>
        <w:rPr>
          <w:rStyle w:val="905"/>
          <w:rFonts w:ascii="Arial" w:hAnsi="Arial" w:eastAsia="Calibri" w:cs="Arial"/>
        </w:rPr>
      </w:r>
    </w:p>
    <w:p>
      <w:pPr>
        <w:pStyle w:val="828"/>
        <w:pBdr/>
        <w:spacing/>
        <w:ind w:right="-5"/>
        <w:jc w:val="both"/>
        <w:rPr>
          <w:rFonts w:ascii="Arial" w:hAnsi="Arial" w:cs="Arial"/>
        </w:rPr>
      </w:pPr>
      <w:r>
        <w:rPr>
          <w:rStyle w:val="905"/>
          <w:rFonts w:ascii="Arial" w:hAnsi="Arial" w:eastAsia="Calibri" w:cs="Arial"/>
          <w:b/>
        </w:rPr>
        <w:t xml:space="preserve">10.5.</w:t>
      </w:r>
      <w:r>
        <w:rPr>
          <w:rFonts w:ascii="Arial" w:hAnsi="Arial" w:cs="Arial"/>
        </w:rPr>
        <w:t xml:space="preserve"> </w:t>
      </w:r>
      <w:r>
        <w:rPr>
          <w:rStyle w:val="905"/>
          <w:rFonts w:ascii="Arial" w:hAnsi="Arial" w:eastAsia="Calibri" w:cs="Arial"/>
        </w:rPr>
        <w:t xml:space="preserve">O</w:t>
      </w:r>
      <w:r>
        <w:rPr>
          <w:rStyle w:val="905"/>
          <w:rFonts w:ascii="Arial" w:hAnsi="Arial" w:eastAsia="Calibri" w:cs="Arial"/>
        </w:rPr>
        <w:t xml:space="preserve"> prazo para liquidação será de 30</w:t>
      </w:r>
      <w:r>
        <w:rPr>
          <w:rStyle w:val="905"/>
          <w:rFonts w:ascii="Arial" w:hAnsi="Arial" w:eastAsia="Calibri" w:cs="Arial"/>
        </w:rPr>
        <w:t xml:space="preserve"> (</w:t>
      </w:r>
      <w:r>
        <w:rPr>
          <w:rStyle w:val="905"/>
          <w:rFonts w:ascii="Arial" w:hAnsi="Arial" w:eastAsia="Calibri" w:cs="Arial"/>
        </w:rPr>
        <w:t xml:space="preserve">trinta</w:t>
      </w:r>
      <w:r>
        <w:rPr>
          <w:rStyle w:val="905"/>
          <w:rFonts w:ascii="Arial" w:hAnsi="Arial" w:eastAsia="Calibri" w:cs="Arial"/>
        </w:rPr>
        <w:t xml:space="preserve">) dias úteis.</w:t>
      </w: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rPr>
      </w:r>
      <w:r>
        <w:rPr>
          <w:rFonts w:ascii="Arial" w:hAnsi="Arial" w:cs="Arial"/>
        </w:rPr>
      </w:r>
    </w:p>
    <w:p>
      <w:pPr>
        <w:pStyle w:val="828"/>
        <w:pBdr/>
        <w:spacing/>
        <w:ind w:right="-5"/>
        <w:jc w:val="both"/>
        <w:rPr>
          <w:rFonts w:ascii="Arial" w:hAnsi="Arial" w:cs="Arial"/>
        </w:rPr>
      </w:pPr>
      <w:r>
        <w:rPr>
          <w:rStyle w:val="905"/>
          <w:rFonts w:ascii="Arial" w:hAnsi="Arial" w:eastAsia="Calibri" w:cs="Arial"/>
          <w:b/>
        </w:rPr>
        <w:t xml:space="preserve">10.6</w:t>
      </w:r>
      <w:r>
        <w:rPr>
          <w:rStyle w:val="905"/>
          <w:rFonts w:ascii="Arial" w:hAnsi="Arial" w:eastAsia="Calibri" w:cs="Arial"/>
          <w:b/>
        </w:rPr>
        <w:t xml:space="preserve">.</w:t>
      </w:r>
      <w:r>
        <w:rPr>
          <w:rStyle w:val="905"/>
          <w:rFonts w:ascii="Arial" w:hAnsi="Arial" w:eastAsia="Calibri" w:cs="Arial"/>
        </w:rPr>
        <w:t xml:space="preserve"> Os pagamentos não realizados dentro do prazo, motivados pela CONTRATADA, não serão geradores de direito a reajustamento de preços. </w:t>
      </w: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b/>
        </w:rPr>
        <w:t xml:space="preserve">10.7</w:t>
      </w:r>
      <w:r>
        <w:rPr>
          <w:rFonts w:ascii="Arial" w:hAnsi="Arial" w:cs="Arial"/>
          <w:b/>
        </w:rPr>
        <w:t xml:space="preserve">.</w:t>
      </w:r>
      <w:r>
        <w:rPr>
          <w:rFonts w:ascii="Arial" w:hAnsi="Arial" w:cs="Arial"/>
        </w:rPr>
        <w:t xml:space="preserve"> As notas fiscais deverão estar devidamente atestada (s) pelos S</w:t>
      </w:r>
      <w:r>
        <w:rPr>
          <w:rFonts w:ascii="Arial" w:hAnsi="Arial" w:cs="Arial"/>
        </w:rPr>
        <w:t xml:space="preserve">ecretários responsáveis pelas Secretarias solicitantes;</w:t>
      </w:r>
      <w:r>
        <w:rPr>
          <w:rFonts w:ascii="Arial" w:hAnsi="Arial" w:cs="Arial"/>
          <w:b/>
          <w:u w:val="single"/>
        </w:rPr>
        <w:t xml:space="preserve"> </w:t>
      </w:r>
      <w:r>
        <w:rPr>
          <w:rFonts w:ascii="Arial" w:hAnsi="Arial" w:cs="Arial"/>
        </w:rPr>
      </w:r>
      <w:r>
        <w:rPr>
          <w:rFonts w:ascii="Arial" w:hAnsi="Arial" w:cs="Arial"/>
        </w:rPr>
      </w:r>
    </w:p>
    <w:p>
      <w:pPr>
        <w:pStyle w:val="828"/>
        <w:pBdr/>
        <w:spacing/>
        <w:ind w:right="-5"/>
        <w:jc w:val="both"/>
        <w:rPr>
          <w:rFonts w:ascii="Arial" w:hAnsi="Arial" w:cs="Arial"/>
          <w:b/>
          <w:u w:val="single"/>
        </w:rPr>
      </w:pPr>
      <w:r>
        <w:rPr>
          <w:rFonts w:ascii="Arial" w:hAnsi="Arial" w:cs="Arial"/>
          <w:b/>
          <w:u w:val="single"/>
        </w:rPr>
      </w:r>
      <w:r>
        <w:rPr>
          <w:rFonts w:ascii="Arial" w:hAnsi="Arial" w:cs="Arial"/>
          <w:b/>
          <w:u w:val="single"/>
        </w:rPr>
      </w:r>
    </w:p>
    <w:p>
      <w:pPr>
        <w:pStyle w:val="828"/>
        <w:pBdr/>
        <w:spacing/>
        <w:ind/>
        <w:jc w:val="both"/>
        <w:rPr>
          <w:rFonts w:ascii="Arial" w:hAnsi="Arial" w:cs="Arial"/>
          <w:b/>
        </w:rPr>
      </w:pPr>
      <w:r>
        <w:rPr>
          <w:rFonts w:ascii="Arial" w:hAnsi="Arial" w:cs="Arial"/>
          <w:b/>
        </w:rPr>
        <w:t xml:space="preserve">10.8</w:t>
      </w:r>
      <w:r>
        <w:rPr>
          <w:rFonts w:ascii="Arial" w:hAnsi="Arial" w:cs="Arial"/>
          <w:b/>
        </w:rPr>
        <w:t xml:space="preserve">.</w:t>
      </w:r>
      <w:r>
        <w:rPr>
          <w:rFonts w:ascii="Arial" w:hAnsi="Arial" w:cs="Arial"/>
          <w:b/>
        </w:rPr>
        <w:t xml:space="preserve"> 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cs="Arial"/>
          <w:b/>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10.9</w:t>
      </w:r>
      <w:r>
        <w:rPr>
          <w:rFonts w:ascii="Arial" w:hAnsi="Arial" w:cs="Arial"/>
          <w:b/>
        </w:rPr>
        <w:t xml:space="preserve">.</w:t>
      </w:r>
      <w:r>
        <w:rPr>
          <w:rFonts w:ascii="Arial" w:hAnsi="Arial" w:cs="Arial"/>
        </w:rPr>
        <w:t xml:space="preserve"> O Município de Rondonópolis-MT, só autorizará a realização dos pagamentos, se houver por parte do setor requisitante dos produtos, o necessário ATESTO dos produtos entregues pela empres</w:t>
      </w:r>
      <w:r>
        <w:rPr>
          <w:rFonts w:ascii="Arial" w:hAnsi="Arial" w:cs="Arial"/>
        </w:rPr>
        <w:t xml:space="preserve">a vencedora, no verso da Nota Fiscal.</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10.10</w:t>
      </w:r>
      <w:r>
        <w:rPr>
          <w:rFonts w:ascii="Arial" w:hAnsi="Arial" w:cs="Arial"/>
          <w:b/>
        </w:rPr>
        <w:t xml:space="preserve">. </w:t>
      </w:r>
      <w:r>
        <w:rPr>
          <w:rFonts w:ascii="Arial" w:hAnsi="Arial" w:cs="Arial"/>
        </w:rPr>
        <w:t xml:space="preserve">Quando do pagamento, será efetuada a retenção tributária prevista na legislação aplicável.</w:t>
      </w:r>
      <w:r>
        <w:rPr>
          <w:rFonts w:ascii="Arial" w:hAnsi="Arial" w:cs="Arial"/>
        </w:rPr>
      </w:r>
    </w:p>
    <w:p>
      <w:pPr>
        <w:pStyle w:val="828"/>
        <w:pBdr/>
        <w:tabs>
          <w:tab w:val="left" w:leader="none" w:pos="1440"/>
        </w:tabs>
        <w:spacing w:after="120" w:before="120"/>
        <w:ind w:left="708"/>
        <w:jc w:val="both"/>
        <w:rPr>
          <w:rFonts w:ascii="Arial" w:hAnsi="Arial" w:cs="Arial"/>
        </w:rPr>
      </w:pPr>
      <w:r>
        <w:rPr>
          <w:rFonts w:ascii="Arial" w:hAnsi="Arial" w:cs="Arial"/>
          <w:b/>
        </w:rPr>
        <w:t xml:space="preserve">10.10</w:t>
      </w:r>
      <w:r>
        <w:rPr>
          <w:rFonts w:ascii="Arial" w:hAnsi="Arial" w:cs="Arial"/>
          <w:b/>
        </w:rPr>
        <w:t xml:space="preserve">.1. </w:t>
      </w:r>
      <w:r>
        <w:rPr>
          <w:rFonts w:ascii="Arial" w:hAnsi="Arial" w:cs="Arial"/>
        </w:rPr>
        <w:t xml:space="preserve">A Contratada regularmente optante pelo Simples Nacional, nos termos da Lei Complementar nº 123, de 2006, não s</w:t>
      </w:r>
      <w:r>
        <w:rPr>
          <w:rFonts w:ascii="Arial" w:hAnsi="Arial" w:cs="Arial"/>
        </w:rPr>
        <w:t xml:space="preserve">ofrerá a retenção tributária quanto aos impostos e contribuições abrangidos por aquele regime. No entanto, o pagamento ficará condicionado à apresentação de comprovação, por meio de documento oficial, de que faz jus ao tratamento tributário favorecido prev</w:t>
      </w:r>
      <w:r>
        <w:rPr>
          <w:rFonts w:ascii="Arial" w:hAnsi="Arial" w:cs="Arial"/>
        </w:rPr>
        <w:t xml:space="preserve">isto na referida Lei Complementar.</w:t>
      </w:r>
      <w:r>
        <w:rPr>
          <w:rFonts w:ascii="Arial" w:hAnsi="Arial" w:cs="Arial"/>
        </w:rPr>
      </w:r>
    </w:p>
    <w:p>
      <w:pPr>
        <w:pStyle w:val="828"/>
        <w:pBdr/>
        <w:spacing/>
        <w:ind/>
        <w:jc w:val="both"/>
        <w:rPr>
          <w:rFonts w:ascii="Arial" w:hAnsi="Arial" w:cs="Arial"/>
        </w:rPr>
      </w:pPr>
      <w:r>
        <w:rPr>
          <w:rFonts w:ascii="Arial" w:hAnsi="Arial" w:cs="Arial"/>
          <w:b/>
        </w:rPr>
        <w:t xml:space="preserve">10.11</w:t>
      </w:r>
      <w:r>
        <w:rPr>
          <w:rFonts w:ascii="Arial" w:hAnsi="Arial" w:cs="Arial"/>
          <w:b/>
        </w:rPr>
        <w:t xml:space="preserve">.</w:t>
      </w:r>
      <w:r>
        <w:rPr>
          <w:rFonts w:ascii="Arial" w:hAnsi="Arial" w:cs="Arial"/>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10.12</w:t>
      </w:r>
      <w:r>
        <w:rPr>
          <w:rFonts w:ascii="Arial" w:hAnsi="Arial" w:cs="Arial"/>
          <w:b/>
        </w:rPr>
        <w:t xml:space="preserve">.</w:t>
      </w:r>
      <w:r>
        <w:rPr>
          <w:rFonts w:ascii="Arial" w:hAnsi="Arial" w:cs="Arial"/>
        </w:rPr>
        <w:t xml:space="preserve"> As despesas bancárias decorrentes de transferência de valores para outras praças, serão de responsabilidade do contratado.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10.13.</w:t>
      </w:r>
      <w:r>
        <w:rPr>
          <w:rFonts w:ascii="Arial" w:hAnsi="Arial" w:cs="Arial"/>
        </w:rPr>
        <w:t xml:space="preserve"> Após 30 (trinta) dias da data em que deveria ser efetuado o pagamento das faturas,</w:t>
      </w:r>
      <w:r>
        <w:rPr>
          <w:rFonts w:ascii="Arial" w:hAnsi="Arial" w:cs="Arial"/>
        </w:rPr>
        <w:t xml:space="preserve"> incidirá sobre o valor faturado atualização monetária com base no Índice de Nacional de Preços ao Consumidor Amplo (IPCA) ou Índice Geral de Preços - Mercado (IGP-M), sendo que sempre será utilizado o índice de menor percentual.</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t xml:space="preserve">CLÁUSULA DÉCIMA PRIMEIRA - </w:t>
      </w:r>
      <w:r>
        <w:rPr>
          <w:rFonts w:ascii="Arial" w:hAnsi="Arial" w:cs="Arial"/>
          <w:b/>
        </w:rPr>
        <w:t xml:space="preserve">DO REAJUSTAMENTO, REPACTUAÇÃO, REVISÃO, SUPRESSÕES E ACRÉSCIMOS</w:t>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b/>
        </w:rPr>
      </w:pPr>
      <w:r>
        <w:rPr>
          <w:rFonts w:ascii="Arial" w:hAnsi="Arial" w:cs="Arial"/>
          <w:b/>
        </w:rPr>
        <w:t xml:space="preserve">11.1. </w:t>
      </w:r>
      <w:r>
        <w:rPr>
          <w:rFonts w:ascii="Arial" w:hAnsi="Arial" w:cs="Arial"/>
          <w:b/>
        </w:rPr>
        <w:t xml:space="preserve">DO CRITÉRIO DE REAJUSTE </w:t>
      </w:r>
      <w:r>
        <w:rPr>
          <w:rFonts w:ascii="Arial" w:hAnsi="Arial" w:cs="Arial"/>
          <w:b/>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Cs/>
          <w:iCs/>
          <w:spacing w:val="-1"/>
          <w:lang w:eastAsia="pt-BR"/>
        </w:rPr>
        <w:t xml:space="preserve"> </w:t>
      </w:r>
      <w:r>
        <w:rPr>
          <w:rFonts w:ascii="Arial" w:hAnsi="Arial" w:cs="Arial"/>
        </w:rPr>
        <w:t xml:space="preserve">Os preços inicialmente contratados são fixos e irreajustáveis pelo prazo de um ano contado da data do orçamento estimado.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1003"/>
        <w:widowControl w:val="false"/>
        <w:pBdr/>
        <w:tabs>
          <w:tab w:val="left" w:leader="none" w:pos="426"/>
        </w:tabs>
        <w:spacing/>
        <w:ind/>
        <w:jc w:val="both"/>
        <w:rPr>
          <w:rFonts w:ascii="Arial" w:hAnsi="Arial" w:cs="Arial"/>
          <w:sz w:val="20"/>
          <w:szCs w:val="20"/>
        </w:rPr>
      </w:pPr>
      <w:r>
        <w:rPr>
          <w:rFonts w:ascii="Arial" w:hAnsi="Arial" w:cs="Arial"/>
          <w:b/>
          <w:bCs/>
          <w:iCs/>
          <w:spacing w:val="-1"/>
          <w:sz w:val="20"/>
          <w:szCs w:val="20"/>
          <w:lang w:eastAsia="pt-BR"/>
        </w:rPr>
        <w:t xml:space="preserve">11.1.1.</w:t>
      </w:r>
      <w:r>
        <w:rPr>
          <w:rFonts w:ascii="Arial" w:hAnsi="Arial" w:cs="Arial"/>
          <w:b/>
          <w:bCs/>
          <w:iCs/>
          <w:spacing w:val="-1"/>
          <w:sz w:val="20"/>
          <w:szCs w:val="20"/>
          <w:lang w:eastAsia="pt-BR"/>
        </w:rPr>
        <w:t xml:space="preserve">1.</w:t>
      </w:r>
      <w:r>
        <w:rPr>
          <w:rFonts w:ascii="Arial" w:hAnsi="Arial" w:cs="Arial"/>
          <w:bCs/>
          <w:iCs/>
          <w:spacing w:val="-1"/>
          <w:sz w:val="20"/>
          <w:szCs w:val="20"/>
          <w:lang w:eastAsia="pt-BR"/>
        </w:rPr>
        <w:t xml:space="preserve"> </w:t>
      </w:r>
      <w:r>
        <w:rPr>
          <w:rFonts w:ascii="Arial" w:hAnsi="Arial" w:cs="Arial"/>
          <w:iCs/>
          <w:spacing w:val="-1"/>
          <w:sz w:val="20"/>
          <w:szCs w:val="20"/>
          <w:lang w:eastAsia="pt-BR"/>
        </w:rPr>
        <w:t xml:space="preserve">Considera-se pre</w:t>
      </w:r>
      <w:r>
        <w:rPr>
          <w:rFonts w:ascii="Arial" w:hAnsi="Arial" w:cs="Arial"/>
          <w:iCs/>
          <w:spacing w:val="-1"/>
          <w:sz w:val="20"/>
          <w:szCs w:val="20"/>
          <w:lang w:eastAsia="pt-BR"/>
        </w:rPr>
        <w:t xml:space="preserv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r>
        <w:rPr>
          <w:rFonts w:ascii="Arial" w:hAnsi="Arial" w:cs="Arial"/>
          <w:sz w:val="20"/>
          <w:szCs w:val="20"/>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2.</w:t>
      </w:r>
      <w:r>
        <w:rPr>
          <w:rFonts w:ascii="Arial" w:hAnsi="Arial" w:cs="Arial"/>
        </w:rPr>
        <w:t xml:space="preserve"> </w:t>
      </w:r>
      <w:r>
        <w:rPr>
          <w:rFonts w:ascii="Arial" w:hAnsi="Arial" w:cs="Arial"/>
        </w:rPr>
        <w:t xml:space="preserve">Após o interregno de 1 (um) ano, os preços iniciais serão reajustados, mediante a aplicação, pelo contratante, do Índice de Nacional de Preços a</w:t>
      </w:r>
      <w:r>
        <w:rPr>
          <w:rFonts w:ascii="Arial" w:hAnsi="Arial" w:cs="Arial"/>
        </w:rPr>
        <w:t xml:space="preserve">o Consumidor Amplo (IPCA)</w:t>
      </w:r>
      <w:r>
        <w:rPr>
          <w:rFonts w:ascii="Arial" w:hAnsi="Arial" w:cs="Arial"/>
        </w:rPr>
        <w:t xml:space="preserve"> ou ou outro que venha substituí-lo,</w:t>
      </w:r>
      <w:r>
        <w:rPr>
          <w:rFonts w:ascii="Arial" w:hAnsi="Arial" w:cs="Arial"/>
        </w:rPr>
        <w:t xml:space="preserve"> exclusivamente para as obrigações iniciadas e concluídas após a ocorrência da anualidade.</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3.</w:t>
      </w:r>
      <w:r>
        <w:rPr>
          <w:rFonts w:ascii="Arial" w:hAnsi="Arial" w:cs="Arial"/>
        </w:rPr>
        <w:t xml:space="preserve"> Os reajustes deverão ser precedidos de solicitação do contratado, acompanhada de memorial do cálculo.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4.</w:t>
      </w:r>
      <w:r>
        <w:rPr>
          <w:rFonts w:ascii="Arial" w:hAnsi="Arial" w:cs="Arial"/>
        </w:rPr>
        <w:t xml:space="preserve"> Independentemente do requerimento de reajuste formulado pelo contratado, o contratante verificará, a cada anualidade, se houve deflação do índice adotado que justifique o recálculo dos custos em valor menor, promovendo, em caso positivo</w:t>
      </w:r>
      <w:r>
        <w:rPr>
          <w:rFonts w:ascii="Arial" w:hAnsi="Arial" w:cs="Arial"/>
        </w:rPr>
        <w:t xml:space="preserve">, a redução dos valores correspondentes da planilha contratual.</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5.</w:t>
      </w:r>
      <w:r>
        <w:rPr>
          <w:rFonts w:ascii="Arial" w:hAnsi="Arial" w:cs="Arial"/>
        </w:rPr>
        <w:t xml:space="preserve"> Nos reajustes subsequentes ao primeiro, o intervalo mínimo de um ano será contado a partir dos efeitos financeiros do último reajuste.</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6.</w:t>
      </w:r>
      <w:r>
        <w:rPr>
          <w:rFonts w:ascii="Arial" w:hAnsi="Arial" w:cs="Arial"/>
        </w:rPr>
        <w:t xml:space="preserve"> No </w:t>
      </w:r>
      <w:r>
        <w:rPr>
          <w:rFonts w:ascii="Arial" w:hAnsi="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7</w:t>
      </w:r>
      <w:r>
        <w:rPr>
          <w:rFonts w:ascii="Arial" w:hAnsi="Arial" w:cs="Arial"/>
        </w:rPr>
        <w:t xml:space="preserve">. A prorrogação contra</w:t>
      </w:r>
      <w:r>
        <w:rPr>
          <w:rFonts w:ascii="Arial" w:hAnsi="Arial" w:cs="Arial"/>
        </w:rPr>
        <w:t xml:space="preserve">tual sem a solicitação do reajuste implica a preclusão deste, sem prejuízo dos futuros reajustes nos termos pactuados.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8.</w:t>
      </w:r>
      <w:r>
        <w:rPr>
          <w:rFonts w:ascii="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9.</w:t>
      </w:r>
      <w:r>
        <w:rPr>
          <w:rFonts w:ascii="Arial" w:hAnsi="Arial" w:cs="Arial"/>
        </w:rPr>
        <w:t xml:space="preserve"> Na ausência de previsão legal quanto ao índice substituto, as partes elegerão novo índice oficial, para reajustamento do pre</w:t>
      </w:r>
      <w:r>
        <w:rPr>
          <w:rFonts w:ascii="Arial" w:hAnsi="Arial" w:cs="Arial"/>
        </w:rPr>
        <w:t xml:space="preserve">ço do valor remanescente, por meio de termo aditivo.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10</w:t>
      </w:r>
      <w:r>
        <w:rPr>
          <w:rFonts w:ascii="Arial" w:hAnsi="Arial" w:cs="Arial"/>
        </w:rPr>
        <w:t xml:space="preserve">. O reajuste será realizado por apostilamento.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t xml:space="preserve">11.2. DA REVISÃO</w:t>
      </w:r>
      <w:r>
        <w:rPr>
          <w:rFonts w:ascii="Arial" w:hAnsi="Arial" w:cs="Arial"/>
          <w:b/>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w:t>
      </w:r>
      <w:r>
        <w:rPr>
          <w:rFonts w:ascii="Arial" w:hAnsi="Arial" w:cs="Arial"/>
          <w:color w:val="000000"/>
        </w:rPr>
        <w:t xml:space="preserve"> O contrato poderá ser alterado na forma do artigo 124 e seguintes da Lei nº 14.133/2021 e Decreto Municipal nº 11.685/2023.</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.2.</w:t>
      </w:r>
      <w:r>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3.</w:t>
      </w:r>
      <w:r>
        <w:rPr>
          <w:rFonts w:ascii="Arial" w:hAnsi="Arial" w:cs="Arial"/>
          <w:color w:val="000000"/>
        </w:rPr>
        <w:t xml:space="preserve"> Registros que não ca</w:t>
      </w:r>
      <w:r>
        <w:rPr>
          <w:rFonts w:ascii="Arial" w:hAnsi="Arial" w:cs="Arial"/>
          <w:color w:val="000000"/>
        </w:rPr>
        <w:t xml:space="preserve">racterizam alteração do contrato podem ser realizados por simples apostila, dispensada a celebração de termo aditivo, na forma do artigo 136 da Lei nº 14.133, de 2021.</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4.</w:t>
      </w:r>
      <w:r>
        <w:rPr>
          <w:rFonts w:ascii="Arial" w:hAnsi="Arial" w:cs="Arial"/>
          <w:color w:val="000000"/>
        </w:rPr>
        <w:t xml:space="preserve"> Durante a vigência do contrato</w:t>
      </w:r>
      <w:r>
        <w:rPr>
          <w:rFonts w:ascii="Arial" w:hAnsi="Arial" w:cs="Arial"/>
          <w:color w:val="000000"/>
        </w:rPr>
        <w:t xml:space="preserve"> a contratada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5.</w:t>
      </w:r>
      <w:r>
        <w:rPr>
          <w:rFonts w:ascii="Arial" w:hAnsi="Arial" w:cs="Arial"/>
          <w:color w:val="000000"/>
        </w:rPr>
        <w:t xml:space="preserve"> Os preços registrados poderão ser revis</w:t>
      </w:r>
      <w:r>
        <w:rPr>
          <w:rFonts w:ascii="Arial" w:hAnsi="Arial" w:cs="Arial"/>
          <w:color w:val="000000"/>
        </w:rPr>
        <w:t xml:space="preserve">ad</w:t>
      </w:r>
      <w:r>
        <w:rPr>
          <w:rFonts w:ascii="Arial" w:hAnsi="Arial" w:cs="Arial"/>
          <w:color w:val="000000"/>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6.</w:t>
      </w:r>
      <w:r>
        <w:rPr>
          <w:rFonts w:ascii="Arial" w:hAnsi="Arial" w:cs="Arial"/>
          <w:color w:val="000000"/>
        </w:rPr>
        <w:t xml:space="preserve"> Os fornecedores que não aceitarem reduzir seus preços aos valores praticados pelo mercado serão liberados do compromisso assumido, sem aplicação de penalidade. </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7.</w:t>
      </w:r>
      <w:r>
        <w:rPr>
          <w:rFonts w:ascii="Arial" w:hAnsi="Arial" w:cs="Arial"/>
          <w:color w:val="000000"/>
        </w:rPr>
        <w:t xml:space="preserve"> O pedido de revisão de preços será processado e julgado pelo Órgão Gerenci</w:t>
      </w:r>
      <w:r>
        <w:rPr>
          <w:rFonts w:ascii="Arial" w:hAnsi="Arial" w:cs="Arial"/>
          <w:color w:val="000000"/>
        </w:rPr>
        <w:t xml:space="preserve">ador. </w:t>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8. </w:t>
      </w:r>
      <w:r>
        <w:rPr>
          <w:rFonts w:ascii="Arial" w:hAnsi="Arial" w:cs="Arial"/>
          <w:color w:val="000000"/>
        </w:rPr>
        <w:t xml:space="preserve">Nos casos em que a majoração do preço for pleiteada pela DETENTORA, o ÓRGÃO GERENCIADOR analisará a solicitação de revi</w:t>
      </w:r>
      <w:r>
        <w:rPr>
          <w:rFonts w:ascii="Arial" w:hAnsi="Arial" w:cs="Arial"/>
          <w:color w:val="000000"/>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9.</w:t>
      </w:r>
      <w:r>
        <w:rPr>
          <w:rFonts w:ascii="Arial" w:hAnsi="Arial" w:cs="Arial"/>
          <w:color w:val="000000"/>
        </w:rPr>
        <w:t xml:space="preserve"> </w:t>
      </w:r>
      <w:r>
        <w:rPr>
          <w:rFonts w:ascii="Arial" w:hAnsi="Arial" w:cs="Arial"/>
          <w:color w:val="000000"/>
          <w:u w:val="single"/>
        </w:rPr>
        <w:t xml:space="preserve">Após 30 (trinta) dias do aceite do requerimento de revisão pelo ÓRGÃO GERENCIADOR, e sem manifestação conclusiva</w:t>
      </w:r>
      <w:r>
        <w:rPr>
          <w:rFonts w:ascii="Arial" w:hAnsi="Arial" w:cs="Arial"/>
          <w:color w:val="000000"/>
          <w:u w:val="single"/>
        </w:rPr>
        <w:t xml:space="preserve"> deste, poderá a DETENTORA comunicar formalmente ao ÓRGÃO GERENCIADOR a recusa de novos pedidos de entrega de bens ou de prestação de serviços.</w:t>
      </w: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10.</w:t>
      </w:r>
      <w:r>
        <w:rPr>
          <w:rFonts w:ascii="Arial" w:hAnsi="Arial" w:cs="Arial"/>
          <w:color w:val="000000"/>
        </w:rPr>
        <w:t xml:space="preserve"> Durante este prazo de 30 dias, a DETENTORA fica obrigado a manter as condições pactuadas quando da assinatura da ata.</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11.</w:t>
      </w:r>
      <w:r>
        <w:rPr>
          <w:rFonts w:ascii="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w:t>
      </w:r>
      <w:r>
        <w:rPr>
          <w:rFonts w:ascii="Arial" w:hAnsi="Arial" w:cs="Arial"/>
          <w:color w:val="000000"/>
        </w:rPr>
        <w:t xml:space="preserve">o dos custos, bem como análise Técnico Contábil do setor Financeiro e Jurídica da Assessoria Jurídica deste Município.</w:t>
      </w:r>
      <w:r>
        <w:rPr>
          <w:rFonts w:ascii="Arial" w:hAnsi="Arial" w:cs="Arial"/>
          <w:color w:val="000000"/>
        </w:rPr>
      </w:r>
    </w:p>
    <w:p>
      <w:pPr>
        <w:pStyle w:val="828"/>
        <w:pBdr/>
        <w:spacing/>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ind/>
        <w:jc w:val="both"/>
        <w:rPr>
          <w:rFonts w:ascii="Arial" w:hAnsi="Arial" w:cs="Arial"/>
          <w:color w:val="000000"/>
          <w:u w:val="single"/>
        </w:rPr>
      </w:pPr>
      <w:r>
        <w:rPr>
          <w:rFonts w:ascii="Arial" w:hAnsi="Arial" w:cs="Arial"/>
          <w:b/>
          <w:u w:val="single"/>
        </w:rPr>
        <w:t xml:space="preserve">11.2.</w:t>
      </w:r>
      <w:r>
        <w:rPr>
          <w:rFonts w:ascii="Arial" w:hAnsi="Arial" w:cs="Arial"/>
          <w:b/>
          <w:color w:val="000000"/>
          <w:u w:val="single"/>
        </w:rPr>
        <w:t xml:space="preserve">11.1.</w:t>
      </w:r>
      <w:r>
        <w:rPr>
          <w:rFonts w:ascii="Arial" w:hAnsi="Arial" w:cs="Arial"/>
          <w:color w:val="000000"/>
          <w:u w:val="single"/>
        </w:rPr>
        <w:t xml:space="preserve"> O prazo para resposta ao pedido de repactuação de preços, quando for o caso, será de até 30 (trinta) úteis dias prorrogáveis por igual período. (Art. 92 Inciso X da Lei 14.133/2021).</w:t>
      </w:r>
      <w:r>
        <w:rPr>
          <w:rFonts w:ascii="Arial" w:hAnsi="Arial" w:cs="Arial"/>
          <w:color w:val="000000"/>
          <w:u w:val="single"/>
        </w:rPr>
      </w:r>
    </w:p>
    <w:p>
      <w:pPr>
        <w:pStyle w:val="828"/>
        <w:pBdr/>
        <w:spacing/>
        <w:ind/>
        <w:jc w:val="both"/>
        <w:rPr>
          <w:rFonts w:ascii="Arial" w:hAnsi="Arial" w:cs="Arial"/>
          <w:color w:val="000000"/>
          <w:u w:val="single"/>
        </w:rPr>
      </w:pPr>
      <w:r>
        <w:rPr>
          <w:rFonts w:ascii="Arial" w:hAnsi="Arial" w:cs="Arial"/>
          <w:color w:val="000000"/>
          <w:u w:val="single"/>
        </w:rPr>
      </w:r>
      <w:r>
        <w:rPr>
          <w:rFonts w:ascii="Arial" w:hAnsi="Arial" w:cs="Arial"/>
          <w:color w:val="000000"/>
          <w:u w:val="single"/>
        </w:rPr>
      </w:r>
    </w:p>
    <w:p>
      <w:pPr>
        <w:pStyle w:val="828"/>
        <w:pBdr/>
        <w:spacing/>
        <w:ind/>
        <w:jc w:val="both"/>
        <w:rPr>
          <w:rFonts w:ascii="Arial" w:hAnsi="Arial" w:cs="Arial"/>
          <w:color w:val="000000"/>
          <w:u w:val="single"/>
        </w:rPr>
      </w:pPr>
      <w:r>
        <w:rPr>
          <w:rFonts w:ascii="Arial" w:hAnsi="Arial" w:cs="Arial"/>
          <w:b/>
          <w:u w:val="single"/>
        </w:rPr>
        <w:t xml:space="preserve">11.2.</w:t>
      </w:r>
      <w:r>
        <w:rPr>
          <w:rFonts w:ascii="Arial" w:hAnsi="Arial" w:cs="Arial"/>
          <w:b/>
          <w:color w:val="000000"/>
          <w:u w:val="single"/>
        </w:rPr>
        <w:t xml:space="preserve">11.2.</w:t>
      </w:r>
      <w:r>
        <w:rPr>
          <w:rFonts w:ascii="Arial" w:hAnsi="Arial" w:cs="Arial"/>
          <w:color w:val="000000"/>
          <w:u w:val="single"/>
        </w:rPr>
        <w:t xml:space="preserve"> O prazo para resposta ao pedido de restabelecimento do equilíbrio econômico-financeiro, quando for o caso¸ será de até 30 (trinta) úteis dias prorrogáveis por igual período. (Art. 92 Inc</w:t>
      </w:r>
      <w:r>
        <w:rPr>
          <w:rFonts w:ascii="Arial" w:hAnsi="Arial" w:cs="Arial"/>
          <w:color w:val="000000"/>
          <w:u w:val="single"/>
        </w:rPr>
        <w:t xml:space="preserve">iso XI da Lei 14.133/2021).</w:t>
      </w:r>
      <w:r>
        <w:rPr>
          <w:rFonts w:ascii="Arial" w:hAnsi="Arial" w:cs="Arial"/>
          <w:color w:val="000000"/>
          <w:u w:val="single"/>
        </w:rPr>
      </w:r>
      <w:r>
        <w:rPr>
          <w:rFonts w:ascii="Arial" w:hAnsi="Arial" w:cs="Arial"/>
          <w:color w:val="000000"/>
          <w:u w:val="single"/>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right="-5"/>
        <w:rPr>
          <w:rFonts w:ascii="Arial" w:hAnsi="Arial" w:cs="Arial"/>
        </w:rPr>
      </w:pPr>
      <w:r>
        <w:rPr>
          <w:rFonts w:ascii="Arial" w:hAnsi="Arial" w:cs="Arial"/>
          <w:b/>
        </w:rPr>
        <w:t xml:space="preserve">CLÁUSULA DÉCIMA SEGUNDA – DA VIGÊNCIA:</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12.1.</w:t>
      </w:r>
      <w:r>
        <w:rPr>
          <w:rFonts w:ascii="Arial" w:hAnsi="Arial" w:cs="Arial"/>
        </w:rPr>
        <w:t xml:space="preserve"> </w:t>
      </w:r>
      <w:r>
        <w:rPr>
          <w:rFonts w:ascii="Arial" w:hAnsi="Arial" w:cs="Arial"/>
        </w:rPr>
        <w:t xml:space="preserve">O presente contrato terá vigência de 12 (doze) meses, contados a partir de sua assinatura, podendo ser p</w:t>
      </w:r>
      <w:r>
        <w:rPr>
          <w:rFonts w:ascii="Arial" w:hAnsi="Arial" w:cs="Arial"/>
        </w:rPr>
        <w:t xml:space="preserve">rorrogado, desde que haja interesse da Administração, devidamente justificado quanto à vantajosidade da prorrogação, preservadas as condições originalmente pactuadas e comprovada a compatibilidade com os preços de mercado, nos termos da Lei nº 14.133/2021.</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CLÁUSULA DÉCIMA TERCEIRA – DA ALTERAÇÃO DO CONTRATO</w:t>
      </w:r>
      <w:r>
        <w:rPr>
          <w:rFonts w:ascii="Arial" w:hAnsi="Arial" w:cs="Arial"/>
        </w:rPr>
        <w:t xml:space="preserv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13.1.</w:t>
      </w:r>
      <w:r>
        <w:rPr>
          <w:rFonts w:ascii="Arial" w:hAnsi="Arial" w:cs="Arial"/>
        </w:rPr>
        <w:t xml:space="preserve"> O contrato pode</w:t>
      </w:r>
      <w:r>
        <w:rPr>
          <w:rFonts w:ascii="Arial" w:hAnsi="Arial" w:cs="Arial"/>
        </w:rPr>
        <w:t xml:space="preserve">rá ser alterado na forma do artigo 124 e seguintes da Lei nº 14.133/2021 e Decreto Municipal nº 11.685/2023.</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13.2.</w:t>
      </w:r>
      <w:r>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13.3.</w:t>
      </w:r>
      <w:r>
        <w:rPr>
          <w:rFonts w:ascii="Arial" w:hAnsi="Arial" w:cs="Arial"/>
        </w:rPr>
        <w:t xml:space="preserve"> Registros que não caracterizam alteração do contrato podem ser realizados por simples apostila, dispensada a celebração de termo aditivo, na forma do artigo 136 da Lei nº 14.133</w:t>
      </w:r>
      <w:r>
        <w:rPr>
          <w:rFonts w:ascii="Arial" w:hAnsi="Arial" w:cs="Arial"/>
        </w:rPr>
        <w:t xml:space="preserve">, de 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13.4.</w:t>
      </w:r>
      <w:r>
        <w:rPr>
          <w:rFonts w:ascii="Arial" w:hAnsi="Arial" w:cs="Arial"/>
        </w:rPr>
        <w:t xml:space="preserve"> Durante a vigência do contrato </w:t>
      </w:r>
      <w:r>
        <w:rPr>
          <w:rFonts w:ascii="Arial" w:hAnsi="Arial" w:cs="Arial"/>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DÉCIMA QUARTA – DA EXTINÇÃO DO CONTRATO</w:t>
      </w:r>
      <w:r>
        <w:rPr>
          <w:rFonts w:ascii="Arial" w:hAnsi="Arial" w:cs="Arial"/>
        </w:rPr>
        <w:t xml:space="preserv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14.1.</w:t>
      </w:r>
      <w:r>
        <w:rPr>
          <w:rFonts w:ascii="Arial" w:hAnsi="Arial" w:cs="Arial"/>
        </w:rPr>
        <w:t xml:space="preserve"> O contrato se extingue quando cumpridas as obrigações de ambas as partes, ainda que isso ocorra antes do prazo estipulado para tanto.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14.2.</w:t>
      </w:r>
      <w:r>
        <w:rPr>
          <w:rFonts w:ascii="Arial" w:hAnsi="Arial" w:cs="Arial"/>
        </w:rPr>
        <w:t xml:space="preserve"> O prese</w:t>
      </w:r>
      <w:r>
        <w:rPr>
          <w:rFonts w:ascii="Arial" w:hAnsi="Arial" w:cs="Arial"/>
        </w:rPr>
        <w:t xml:space="preserve">nte termo de contrato poderá ser extinto nas hipóteses previstas no rol do</w:t>
      </w:r>
      <w:r>
        <w:rPr>
          <w:rFonts w:ascii="Arial" w:hAnsi="Arial" w:cs="Arial"/>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14.2.1.</w:t>
      </w:r>
      <w:r>
        <w:rPr>
          <w:rFonts w:ascii="Arial" w:hAnsi="Arial" w:cs="Arial"/>
        </w:rPr>
        <w:t xml:space="preserve"> Nesta hipótese, aplicam-se também os artigos 138 e 139 da Lei 14.133/2021.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14.2.2.</w:t>
      </w:r>
      <w:r>
        <w:rPr>
          <w:rFonts w:ascii="Arial" w:hAnsi="Arial" w:cs="Arial"/>
        </w:rPr>
        <w:t xml:space="preserve"> A alteração social ou a modificação da finalidade ou da estrutura da empresa não ensejar</w:t>
      </w:r>
      <w:r>
        <w:rPr>
          <w:rFonts w:ascii="Arial" w:hAnsi="Arial" w:cs="Arial"/>
        </w:rPr>
        <w:t xml:space="preserve">á a rescisão se não restringir sua capacidade de concluir o contrato.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14.2.3.</w:t>
      </w:r>
      <w:r>
        <w:rPr>
          <w:rFonts w:ascii="Arial" w:hAnsi="Arial" w:cs="Arial"/>
        </w:rPr>
        <w:t xml:space="preserve"> Se a operação implicar mudança da pessoa jurídica contratada, deverá ser formalizado termo aditivo para alteração subjetiva.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14.3.</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14.4.</w:t>
      </w:r>
      <w:r>
        <w:rPr>
          <w:rFonts w:ascii="Arial" w:hAnsi="Arial" w:cs="Arial"/>
        </w:rPr>
        <w:t xml:space="preserve"> O contrato poderá ser extinto caso se constate que o contratado mantém vínculo de</w:t>
      </w:r>
      <w:r>
        <w:rPr>
          <w:rFonts w:ascii="Arial" w:hAnsi="Arial" w:cs="Arial"/>
        </w:rPr>
        <w:t xml:space="preserve"> natureza técnica, comercial, econômica, financeira, trabalhista ou civil com dirigente do órgão ou entidade contratante ou com agente públic</w:t>
      </w:r>
      <w:r>
        <w:rPr>
          <w:rFonts w:ascii="Arial" w:hAnsi="Arial" w:cs="Arial"/>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14.5.</w:t>
      </w:r>
      <w:r>
        <w:rPr>
          <w:rFonts w:ascii="Arial" w:hAnsi="Arial" w:cs="Arial"/>
        </w:rPr>
        <w:t xml:space="preserve"> A extinção do contrato não configura óbice para o reconhecimento do desequilíbrio econômico-financeiro, hip</w:t>
      </w:r>
      <w:r>
        <w:rPr>
          <w:rFonts w:ascii="Arial" w:hAnsi="Arial" w:cs="Arial"/>
        </w:rPr>
        <w:t xml:space="preserve">ótese em que será concedida indenização por meio de termo indenizatório (art. 131, </w:t>
      </w:r>
      <w:r>
        <w:rPr>
          <w:rFonts w:ascii="Arial" w:hAnsi="Arial" w:cs="Arial"/>
          <w:i/>
          <w:iCs/>
        </w:rPr>
        <w:t xml:space="preserve">caput, </w:t>
      </w:r>
      <w:r>
        <w:rPr>
          <w:rFonts w:ascii="Arial" w:hAnsi="Arial" w:cs="Arial"/>
        </w:rPr>
        <w:t xml:space="preserve">da Lei nº 14.133, de 2021).</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CLÁUSULA DÉCIMA QUINTA – DA FISCALIZAÇÃO E GESTÃO DO CONTRATO</w:t>
      </w:r>
      <w:r>
        <w:rPr>
          <w:rFonts w:ascii="Arial" w:hAnsi="Arial" w:cs="Arial"/>
        </w:rPr>
        <w:t xml:space="preserve">:</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15.1.</w:t>
      </w:r>
      <w:r>
        <w:rPr>
          <w:rFonts w:ascii="Arial" w:hAnsi="Arial" w:cs="Arial"/>
        </w:rPr>
        <w:t xml:space="preserve"> Será designado, pelo contratante, um servidor qualificado ou uma co</w:t>
      </w:r>
      <w:r>
        <w:rPr>
          <w:rFonts w:ascii="Arial" w:hAnsi="Arial" w:cs="Arial"/>
        </w:rPr>
        <w:t xml:space="preserve">missão para exercer a fiscalização e acompanhamento do contrato, que terá, dentre outras, a incumbência de informar as ocorrências relevantes verificadas na execução contratual, inclusive quanto a eventuais atrasos e descumprimentos de cláusulas contratuai</w:t>
      </w:r>
      <w:r>
        <w:rPr>
          <w:rFonts w:ascii="Arial" w:hAnsi="Arial" w:cs="Arial"/>
        </w:rPr>
        <w:t xml:space="preserve">s; solicitar ao contratado documentos exigidos para o fornecimen</w:t>
      </w:r>
      <w:r>
        <w:rPr>
          <w:rFonts w:ascii="Arial" w:hAnsi="Arial" w:cs="Arial"/>
        </w:rPr>
        <w:t xml:space="preserve">to do bem, correção de falhas na execução contratual, cumprimento da legislação aplicável, e, sendo o caso, determinar a substituição de produtos defeituosos; informar as autoridades competentes a ocorrência de ilegalidades e irregularidades que constatar;</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15.2</w:t>
      </w:r>
      <w:r>
        <w:rPr>
          <w:rFonts w:ascii="Arial" w:hAnsi="Arial" w:cs="Arial"/>
        </w:rPr>
        <w:t xml:space="preserve">. A execução do contrato deverá ser acompanhada e fiscalizada por um ou mais fiscais de contratos, representantes da Administração especialmente designados, nos termos do art. 117 da Lei</w:t>
      </w:r>
      <w:r>
        <w:rPr>
          <w:rFonts w:ascii="Arial" w:hAnsi="Arial" w:cs="Arial"/>
        </w:rPr>
        <w:t xml:space="preserve"> nº 14.133/2021.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15.3. </w:t>
      </w:r>
      <w:r>
        <w:rPr>
          <w:rFonts w:ascii="Arial" w:hAnsi="Arial" w:cs="Arial"/>
        </w:rPr>
        <w:t xml:space="preserve">A fiscalização exercida pelo contratante na entrega dos bens não exclui a responsabilidade do contra</w:t>
      </w:r>
      <w:r>
        <w:rPr>
          <w:rFonts w:ascii="Arial" w:hAnsi="Arial" w:cs="Arial"/>
        </w:rPr>
        <w:t xml:space="preserve">tado, por quaisquer irregularidades resultantes de imperfeições técnicas, vícios redibitórios, ou emprego de material inadequado ou de qualidade inferior e, na ocorrência deste, não implica co-responsabilidade do contratante ou de seus agentes e prepostos.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15.4.</w:t>
      </w:r>
      <w:r>
        <w:rPr>
          <w:rFonts w:ascii="Arial" w:hAnsi="Arial" w:cs="Arial"/>
        </w:rPr>
        <w:t xml:space="preserve"> Em caso de impedimento, ordem de paralisação ou suspensão do contrato, o cronograma de execução será prorrogado automaticame</w:t>
      </w:r>
      <w:r>
        <w:rPr>
          <w:rFonts w:ascii="Arial" w:hAnsi="Arial" w:cs="Arial"/>
        </w:rPr>
        <w:t xml:space="preserve">nte pelo tempo correspondente, anotadas tais circunstâncias mediante simples apostilamento.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15.5.</w:t>
      </w:r>
      <w:r>
        <w:rPr>
          <w:rFonts w:ascii="Arial" w:hAnsi="Arial" w:cs="Arial"/>
        </w:rPr>
        <w:t xml:space="preserve"> A execução do contrato deverá ser acompanhada e fiscalizada pelo(s) fiscal(is) do contrato, ou, em caso de afastamentos legais, pelos respectivos substitutos.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15.6.</w:t>
      </w:r>
      <w:r>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w:t>
      </w:r>
      <w:r>
        <w:rPr>
          <w:rFonts w:ascii="Arial" w:hAnsi="Arial" w:cs="Arial"/>
        </w:rPr>
        <w:t xml:space="preserve">itutos.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15.7.</w:t>
      </w:r>
      <w:r>
        <w:rPr>
          <w:rFonts w:ascii="Arial" w:hAnsi="Arial" w:cs="Arial"/>
        </w:rPr>
        <w:t xml:space="preserve"> Não obstante o contratado se</w:t>
      </w:r>
      <w:r>
        <w:rPr>
          <w:rFonts w:ascii="Arial" w:hAnsi="Arial" w:cs="Arial"/>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CLÁUSULA DÉCIMA SEXTA - DAS INFRAÇÕES E SANÇÕES ADMINISTRATIVAS: </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16.1.</w:t>
      </w:r>
      <w:r>
        <w:rPr>
          <w:rFonts w:ascii="Arial" w:hAnsi="Arial" w:cs="Arial"/>
        </w:rPr>
        <w:t xml:space="preserve"> Comete infração administrativa, nos termos da Lei nº 14.133/2021 (art. 155) e do Decreto Municipal nº 11.685/2023 o contratado que: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16.1.</w:t>
      </w:r>
      <w:r>
        <w:rPr>
          <w:rFonts w:ascii="Arial" w:hAnsi="Arial" w:cs="Arial"/>
          <w:b/>
        </w:rPr>
        <w:t xml:space="preserve">1.</w:t>
      </w:r>
      <w:r>
        <w:rPr>
          <w:rFonts w:ascii="Arial" w:hAnsi="Arial" w:cs="Arial"/>
        </w:rPr>
        <w:t xml:space="preserve"> Dar causa à inexecução parcial do contrato que cause grave dano à Administração, ao funcionamento dos serviços públicos ou ao interesse coletivo.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16.1.2.</w:t>
      </w:r>
      <w:r>
        <w:rPr>
          <w:rFonts w:ascii="Arial" w:hAnsi="Arial" w:cs="Arial"/>
        </w:rPr>
        <w:t xml:space="preserve"> Dar causa à inexecução total do contrato.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16.1.3.</w:t>
      </w:r>
      <w:r>
        <w:rPr>
          <w:rFonts w:ascii="Arial" w:hAnsi="Arial" w:cs="Arial"/>
        </w:rPr>
        <w:t xml:space="preserve"> Não celebrar o contrato ou não entregar a documentação exigida para a contratação, quando convocado dentro do prazo de validade de sua proposta.</w:t>
      </w:r>
      <w:r>
        <w:rPr>
          <w:rFonts w:ascii="Arial" w:hAnsi="Arial" w:cs="Arial"/>
        </w:rPr>
      </w:r>
    </w:p>
    <w:p>
      <w:pPr>
        <w:pStyle w:val="828"/>
        <w:pBdr/>
        <w:spacing/>
        <w:ind/>
        <w:jc w:val="both"/>
        <w:rPr>
          <w:rFonts w:ascii="Arial" w:hAnsi="Arial" w:cs="Arial"/>
        </w:rPr>
      </w:pPr>
      <w:r>
        <w:rPr>
          <w:rFonts w:ascii="Arial" w:hAnsi="Arial" w:cs="Arial"/>
          <w:b/>
        </w:rPr>
        <w:t xml:space="preserve">16.1.4.</w:t>
      </w:r>
      <w:r>
        <w:rPr>
          <w:rFonts w:ascii="Arial" w:hAnsi="Arial" w:cs="Arial"/>
        </w:rPr>
        <w:t xml:space="preserve"> Ensejar o retardamento da execução ou da entrega do objeto da licitação sem motivo justificado.</w:t>
      </w:r>
      <w:r>
        <w:rPr>
          <w:rFonts w:ascii="Arial" w:hAnsi="Arial" w:cs="Arial"/>
        </w:rPr>
      </w:r>
    </w:p>
    <w:p>
      <w:pPr>
        <w:pStyle w:val="828"/>
        <w:pBdr/>
        <w:spacing/>
        <w:ind/>
        <w:jc w:val="both"/>
        <w:rPr>
          <w:rFonts w:ascii="Arial" w:hAnsi="Arial" w:cs="Arial"/>
        </w:rPr>
      </w:pPr>
      <w:r>
        <w:rPr>
          <w:rFonts w:ascii="Arial" w:hAnsi="Arial" w:cs="Arial"/>
          <w:b/>
        </w:rPr>
        <w:t xml:space="preserve">16.1.5.</w:t>
      </w:r>
      <w:r>
        <w:rPr>
          <w:rFonts w:ascii="Arial" w:hAnsi="Arial" w:cs="Arial"/>
        </w:rPr>
        <w:t xml:space="preserve"> Apresentar declaração ou documentação falsa e</w:t>
      </w:r>
      <w:r>
        <w:rPr>
          <w:rFonts w:ascii="Arial" w:hAnsi="Arial" w:cs="Arial"/>
        </w:rPr>
        <w:t xml:space="preserve">xigida para o certame ou prestar declaração falsa durante a licitação ou a execução do contrato.</w:t>
      </w:r>
      <w:r>
        <w:rPr>
          <w:rFonts w:ascii="Arial" w:hAnsi="Arial" w:cs="Arial"/>
        </w:rPr>
      </w:r>
    </w:p>
    <w:p>
      <w:pPr>
        <w:pStyle w:val="828"/>
        <w:pBdr/>
        <w:spacing/>
        <w:ind/>
        <w:jc w:val="both"/>
        <w:rPr>
          <w:rFonts w:ascii="Arial" w:hAnsi="Arial" w:cs="Arial"/>
        </w:rPr>
      </w:pPr>
      <w:r>
        <w:rPr>
          <w:rFonts w:ascii="Arial" w:hAnsi="Arial" w:cs="Arial"/>
          <w:b/>
        </w:rPr>
        <w:t xml:space="preserve">16.1.6. </w:t>
      </w:r>
      <w:r>
        <w:rPr>
          <w:rFonts w:ascii="Arial" w:hAnsi="Arial" w:cs="Arial"/>
        </w:rPr>
        <w:t xml:space="preserve">Fraudar a licitação ou praticar ato fraudulento na execução do contrato.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16.1.7.</w:t>
      </w:r>
      <w:r>
        <w:rPr>
          <w:rFonts w:ascii="Arial" w:hAnsi="Arial" w:cs="Arial"/>
        </w:rPr>
        <w:t xml:space="preserve"> Comportar-se de modo inidôneo ou cometer fraude de qualquer natureza.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16.1.8.</w:t>
      </w:r>
      <w:r>
        <w:rPr>
          <w:rFonts w:ascii="Arial" w:hAnsi="Arial" w:cs="Arial"/>
        </w:rPr>
        <w:t xml:space="preserve"> Praticar atos ilícitos com vistas a frustrar os objetivos da licitação.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16.1.9.</w:t>
      </w:r>
      <w:r>
        <w:rPr>
          <w:rFonts w:ascii="Arial" w:hAnsi="Arial" w:cs="Arial"/>
        </w:rPr>
        <w:t xml:space="preserve"> Praticar ato lesivo previsto no art. 5º, da Lei nº 12.846/2013.</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w:t>
      </w:r>
      <w:r>
        <w:rPr>
          <w:rFonts w:ascii="Arial" w:hAnsi="Arial" w:cs="Arial"/>
        </w:rPr>
        <w:t xml:space="preserve"> Serão aplicadas ao contratado que incorrer nas infrações acima descritas as seguintes sanções:</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16.2.1.</w:t>
      </w:r>
      <w:r>
        <w:rPr>
          <w:rFonts w:ascii="Arial" w:hAnsi="Arial" w:cs="Arial"/>
        </w:rPr>
        <w:t xml:space="preserve"> Advertência, quan</w:t>
      </w:r>
      <w:r>
        <w:rPr>
          <w:rFonts w:ascii="Arial" w:hAnsi="Arial" w:cs="Arial"/>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w:t>
      </w:r>
      <w:r>
        <w:rPr>
          <w:rFonts w:ascii="Arial" w:hAnsi="Arial" w:cs="Arial"/>
        </w:rPr>
        <w:t xml:space="preserve"> Multa: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16.2.2.1.</w:t>
      </w:r>
      <w:r>
        <w:rPr>
          <w:rFonts w:ascii="Arial" w:hAnsi="Arial" w:cs="Arial"/>
        </w:rPr>
        <w:t xml:space="preserve"> Moratória: em razão do atraso injustificado: na proporção de </w:t>
      </w:r>
      <w:r>
        <w:rPr>
          <w:rFonts w:ascii="Arial" w:hAnsi="Arial" w:cs="Arial"/>
        </w:rPr>
        <w:t xml:space="preserve">0,5</w:t>
      </w:r>
      <w:r>
        <w:rPr>
          <w:rFonts w:ascii="Arial" w:hAnsi="Arial" w:cs="Arial"/>
        </w:rPr>
        <w:t xml:space="preserve">% (</w:t>
      </w:r>
      <w:r>
        <w:rPr>
          <w:rFonts w:ascii="Arial" w:hAnsi="Arial" w:cs="Arial"/>
        </w:rPr>
        <w:t xml:space="preserve">meio</w:t>
      </w:r>
      <w:r>
        <w:rPr>
          <w:rFonts w:ascii="Arial" w:hAnsi="Arial" w:cs="Arial"/>
        </w:rPr>
        <w:t xml:space="preserve"> por cento) do valor da parcela inadimplida por dia de atraso injustificado até o limite de 30 (trinta) dias corridos.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16.2.2.1.1</w:t>
      </w:r>
      <w:r>
        <w:rPr>
          <w:rFonts w:ascii="Arial" w:hAnsi="Arial" w:cs="Arial"/>
        </w:rPr>
        <w:t xml:space="preserve">. O atraso superior a 30 (trinta) dias autoriza a Administração a promover a extinção do contrato por descumprimento ou cumprimento irregular de suas cláusulas, conforme dispõe o inciso I do art. 137 da Lei n.</w:t>
      </w:r>
      <w:r>
        <w:rPr>
          <w:rFonts w:ascii="Arial" w:hAnsi="Arial" w:cs="Arial"/>
        </w:rPr>
      </w:r>
    </w:p>
    <w:p>
      <w:pPr>
        <w:pStyle w:val="828"/>
        <w:pBdr/>
        <w:spacing/>
        <w:ind/>
        <w:jc w:val="both"/>
        <w:rPr>
          <w:rFonts w:ascii="Arial" w:hAnsi="Arial" w:cs="Arial"/>
        </w:rPr>
      </w:pPr>
      <w:r>
        <w:rPr>
          <w:rFonts w:ascii="Arial" w:hAnsi="Arial" w:cs="Arial"/>
        </w:rPr>
        <w:t xml:space="preserve">14.133, de 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16.2.2.2.</w:t>
      </w:r>
      <w:r>
        <w:rPr>
          <w:rFonts w:ascii="Arial" w:hAnsi="Arial" w:cs="Arial"/>
        </w:rPr>
        <w:t xml:space="preserve"> Compensatória: será aplicada multa de 0,5% até 30% sobre o valor do contrato, devendo a autoridade competente observar, na dosimetria da pena, as seguintes recomendações: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16.2.2.2.1. </w:t>
      </w:r>
      <w:r>
        <w:rPr>
          <w:rFonts w:ascii="Arial" w:hAnsi="Arial" w:cs="Arial"/>
        </w:rPr>
        <w:t xml:space="preserve">Em casos de inexecução parcial do contrato, que cause grave dano à Administração, ao funci</w:t>
      </w:r>
      <w:r>
        <w:rPr>
          <w:rFonts w:ascii="Arial" w:hAnsi="Arial" w:cs="Arial"/>
        </w:rPr>
        <w:t xml:space="preserve">onamento dos serviços públicos ou ao interesse coletivo (ítem 16.1.1), bem como quantos aos itens: 16.1.3 e 16.1.4, a multa será de 0,5% a 15% do valor do contrato licitado.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16.2.2.2.2.</w:t>
      </w:r>
      <w:r>
        <w:rPr>
          <w:rFonts w:ascii="Arial" w:hAnsi="Arial" w:cs="Arial"/>
        </w:rPr>
        <w:t xml:space="preserve"> Em casos de ine</w:t>
      </w:r>
      <w:r>
        <w:rPr>
          <w:rFonts w:ascii="Arial" w:hAnsi="Arial" w:cs="Arial"/>
        </w:rPr>
        <w:t xml:space="preserve">xecução total do contrato (ítem 16.1.2), bem como quanto aos itens: 16.1.5; 16.1.6; 16.1.7; 16.1.8 e 16.1.9) nas hipóteses de atos fraudulentos com o objetivo de obter vantagens indevidas, a multa será fixada entre 15% a 30% do valor do contrato licitado.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16.2.2.2.3.</w:t>
      </w:r>
      <w:r>
        <w:rPr>
          <w:rFonts w:ascii="Arial" w:hAnsi="Arial" w:cs="Arial"/>
        </w:rPr>
        <w:t xml:space="preserve"> No caso de inexecução total, a multa se</w:t>
      </w:r>
      <w:r>
        <w:rPr>
          <w:rFonts w:ascii="Arial" w:hAnsi="Arial" w:cs="Arial"/>
        </w:rPr>
        <w:t xml:space="preserve">rá aplicada independentemente da existência ou não do prejuízo ao contratante, implicando ainda na possibilidade de rescisão do contrato.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16.2.2.3.</w:t>
      </w:r>
      <w:r>
        <w:rPr>
          <w:rFonts w:ascii="Arial" w:hAnsi="Arial" w:cs="Arial"/>
        </w:rPr>
        <w:t xml:space="preserve"> Antes da aplicação da multa será facultada a defesa do interessado no prazo de 15 (quinze) dias úteis, contado da data de sua intimação.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w:t>
      </w:r>
      <w:r>
        <w:rPr>
          <w:rFonts w:ascii="Arial" w:hAnsi="Arial" w:cs="Arial"/>
        </w:rPr>
        <w:t xml:space="preserve">ou será cobrada judicialmente.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16.2.2.5.</w:t>
      </w:r>
      <w:r>
        <w:rPr>
          <w:rFonts w:ascii="Arial" w:hAnsi="Arial" w:cs="Arial"/>
        </w:rPr>
        <w:t xml:space="preserve"> Caso o cont</w:t>
      </w:r>
      <w:r>
        <w:rPr>
          <w:rFonts w:ascii="Arial" w:hAnsi="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16.2.2.6.</w:t>
      </w:r>
      <w:r>
        <w:rPr>
          <w:rFonts w:ascii="Arial" w:hAnsi="Arial" w:cs="Arial"/>
        </w:rPr>
        <w:t xml:space="preserve"> Esgotados os meios administrativos para a cobrança dos valores devidos, o contratante providenciará o encaminhamento do processo à Procuradoria-Geral do Município para que seja realizada a co</w:t>
      </w:r>
      <w:r>
        <w:rPr>
          <w:rFonts w:ascii="Arial" w:hAnsi="Arial" w:cs="Arial"/>
        </w:rPr>
        <w:t xml:space="preserve">brança judicial.</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16.2.2.7.</w:t>
      </w:r>
      <w:r>
        <w:rPr>
          <w:rFonts w:ascii="Arial" w:hAnsi="Arial" w:cs="Arial"/>
        </w:rPr>
        <w:t xml:space="preserve"> Caso o contratante tenha de recorrer ou comparecer a juízo para haver o que lhe for devido, o contratado ficará sujeita ao pagamento, além do princi</w:t>
      </w:r>
      <w:r>
        <w:rPr>
          <w:rFonts w:ascii="Arial" w:hAnsi="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16.2.2.8.</w:t>
      </w:r>
      <w:r>
        <w:rPr>
          <w:rFonts w:ascii="Arial" w:hAnsi="Arial" w:cs="Arial"/>
        </w:rPr>
        <w:t xml:space="preserve"> A aplicação de multa de mora não impedirá que a Administração a conv</w:t>
      </w:r>
      <w:r>
        <w:rPr>
          <w:rFonts w:ascii="Arial" w:hAnsi="Arial" w:cs="Arial"/>
        </w:rPr>
        <w:t xml:space="preserve">erta em compensatória e promova a extinção unilateral do contrato com a aplicação cumulada de outras sanções previstas na Lei 14.133/2021.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16.2.3.</w:t>
      </w:r>
      <w:r>
        <w:rPr>
          <w:rFonts w:ascii="Arial" w:hAnsi="Arial" w:cs="Arial"/>
        </w:rPr>
        <w:t xml:space="preserve"> Impedimento de licitar e contratar, caso não se justifique imposição de penalidade mais grave.</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16.2.3.1.</w:t>
      </w:r>
      <w:r>
        <w:rPr>
          <w:rFonts w:ascii="Arial" w:hAnsi="Arial" w:cs="Arial"/>
        </w:rPr>
        <w:t xml:space="preserve"> Essa penalidade poderá ser aplicada nas seguintes hipóteses: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16.2.3.1.1.</w:t>
      </w:r>
      <w:r>
        <w:rPr>
          <w:rFonts w:ascii="Arial" w:hAnsi="Arial" w:cs="Arial"/>
        </w:rPr>
        <w:t xml:space="preserve"> Der causa à inexecução parcial do contrato que cause grave dano à Administração, ao funcionamento dos serviços públicos ou ao interesse coletivo;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16.2.3.1.2</w:t>
      </w:r>
      <w:r>
        <w:rPr>
          <w:rFonts w:ascii="Arial" w:hAnsi="Arial" w:cs="Arial"/>
        </w:rPr>
        <w:t xml:space="preserve">. Der causa à inexecução to</w:t>
      </w:r>
      <w:r>
        <w:rPr>
          <w:rFonts w:ascii="Arial" w:hAnsi="Arial" w:cs="Arial"/>
        </w:rPr>
        <w:t xml:space="preserve">tal do contrato;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16.2.3.1.3</w:t>
      </w:r>
      <w:r>
        <w:rPr>
          <w:rFonts w:ascii="Arial" w:hAnsi="Arial" w:cs="Arial"/>
        </w:rPr>
        <w:t xml:space="preserve">. Deixar de entregar a documentação exigida para o certame;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16.2.3.1.4</w:t>
      </w:r>
      <w:r>
        <w:rPr>
          <w:rFonts w:ascii="Arial" w:hAnsi="Arial" w:cs="Arial"/>
        </w:rPr>
        <w:t xml:space="preserve">. Não manter a proposta, salvo em decorrência de fato superveniente devidamente justificado;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16.2.3.1.5.</w:t>
      </w:r>
      <w:r>
        <w:rPr>
          <w:rFonts w:ascii="Arial" w:hAnsi="Arial" w:cs="Arial"/>
        </w:rPr>
        <w:t xml:space="preserve"> Não celebrar o contrato ou não entregar a documentação exigida para a contratação, quando convocado dentro do prazo de validade de sua proposta;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16.2.3.1.6.</w:t>
      </w:r>
      <w:r>
        <w:rPr>
          <w:rFonts w:ascii="Arial" w:hAnsi="Arial" w:cs="Arial"/>
        </w:rPr>
        <w:t xml:space="preserve"> Ensejar o retardamento da execução ou da entrega do objeto da licitação sem motivo justificado.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16.2.4.</w:t>
      </w:r>
      <w:r>
        <w:rPr>
          <w:rFonts w:ascii="Arial" w:hAnsi="Arial" w:cs="Arial"/>
        </w:rPr>
        <w:t xml:space="preserve"> As condutas aqui enumeradas também podem jus</w:t>
      </w:r>
      <w:r>
        <w:rPr>
          <w:rFonts w:ascii="Arial" w:hAnsi="Arial" w:cs="Arial"/>
        </w:rPr>
        <w:t xml:space="preserve">tificar a aplicação da declaração de inidoneidade quando as circunstâncias do caso concreto justificarem a imposição de penalidade mais grave.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16.2.4.1.</w:t>
      </w:r>
      <w:r>
        <w:rPr>
          <w:rFonts w:ascii="Arial" w:hAnsi="Arial" w:cs="Arial"/>
        </w:rPr>
        <w:t xml:space="preserve"> Declaração de inidoneidade para licitar e contratar.</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16.2.4.2.</w:t>
      </w:r>
      <w:r>
        <w:rPr>
          <w:rFonts w:ascii="Arial" w:hAnsi="Arial" w:cs="Arial"/>
        </w:rPr>
        <w:t xml:space="preserve"> A declaração de inidoneidade par</w:t>
      </w:r>
      <w:r>
        <w:rPr>
          <w:rFonts w:ascii="Arial" w:hAnsi="Arial" w:cs="Arial"/>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w:t>
      </w:r>
      <w:r>
        <w:rPr>
          <w:rFonts w:ascii="Arial" w:hAnsi="Arial" w:cs="Arial"/>
          <w:b/>
        </w:rPr>
        <w:t xml:space="preserve">.4.2.1</w:t>
      </w:r>
      <w:r>
        <w:rPr>
          <w:rFonts w:ascii="Arial" w:hAnsi="Arial" w:cs="Arial"/>
        </w:rPr>
        <w:t xml:space="preserve">. Essa penalidade poderá ser aplicada nas seguintes hipóteses: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16.2.4.2.1.</w:t>
      </w:r>
      <w:r>
        <w:rPr>
          <w:rFonts w:ascii="Arial" w:hAnsi="Arial" w:cs="Arial"/>
        </w:rPr>
        <w:t xml:space="preserve"> Apresentar declaração ou documentação falsa exigida para o certame ou prestar declaração falsa durante a licitação ou a execução do contrato;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16.2.4.2.3.</w:t>
      </w:r>
      <w:r>
        <w:rPr>
          <w:rFonts w:ascii="Arial" w:hAnsi="Arial" w:cs="Arial"/>
        </w:rPr>
        <w:t xml:space="preserve"> Fraudar a licitação ou praticar ato fraudulento na execução do contrato;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16.2.4.2.4.</w:t>
      </w:r>
      <w:r>
        <w:rPr>
          <w:rFonts w:ascii="Arial" w:hAnsi="Arial" w:cs="Arial"/>
        </w:rPr>
        <w:t xml:space="preserve"> Comportar-se de modo inidôneo ou cometer fraude de qualquer natureza;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16.2.4.2.5.</w:t>
      </w:r>
      <w:r>
        <w:rPr>
          <w:rFonts w:ascii="Arial" w:hAnsi="Arial" w:cs="Arial"/>
        </w:rPr>
        <w:t xml:space="preserve"> Praticar atos ilícitos com vistas a frustrar os objetivos da licitação;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16.2.4.2.6.</w:t>
      </w:r>
      <w:r>
        <w:rPr>
          <w:rFonts w:ascii="Arial" w:hAnsi="Arial" w:cs="Arial"/>
        </w:rPr>
        <w:t xml:space="preserve"> Praticar ato lesivo p</w:t>
      </w:r>
      <w:r>
        <w:rPr>
          <w:rFonts w:ascii="Arial" w:hAnsi="Arial" w:cs="Arial"/>
        </w:rPr>
        <w:t xml:space="preserve">revisto no art. 5º da Lei nº 12.846/2013.</w:t>
      </w:r>
      <w:r>
        <w:rPr>
          <w:rFonts w:ascii="Arial" w:hAnsi="Arial" w:cs="Arial"/>
        </w:rPr>
      </w:r>
    </w:p>
    <w:p>
      <w:pPr>
        <w:pStyle w:val="828"/>
        <w:pBdr/>
        <w:spacing/>
        <w:ind/>
        <w:jc w:val="both"/>
        <w:rPr>
          <w:rFonts w:ascii="Arial" w:hAnsi="Arial" w:cs="Arial"/>
        </w:rPr>
      </w:pPr>
      <w:r>
        <w:rPr>
          <w:rFonts w:ascii="Arial" w:hAnsi="Arial" w:cs="Arial"/>
          <w:b/>
        </w:rPr>
        <w:t xml:space="preserve">16.3.</w:t>
      </w:r>
      <w:r>
        <w:rPr>
          <w:rFonts w:ascii="Arial" w:hAnsi="Arial" w:cs="Arial"/>
        </w:rPr>
        <w:t xml:space="preserve"> Todas as sanções previstas neste Contrato poderão ser aplicadas cumulativamente com a multa (art. 156, §7º, da Lei nº 14.133, de 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16.4.</w:t>
      </w:r>
      <w:r>
        <w:rPr>
          <w:rFonts w:ascii="Arial" w:hAnsi="Arial" w:cs="Arial"/>
        </w:rPr>
        <w:t xml:space="preserve"> A aplicação das sanções previstas neste Contrato não exclui, em hipótese alguma, a obrigação de reparação integral do dano causado ao contratante (art. 156, §9º, da Lei nº 14.133, de 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16.5.</w:t>
      </w:r>
      <w:r>
        <w:rPr>
          <w:rFonts w:ascii="Arial" w:hAnsi="Arial" w:cs="Arial"/>
        </w:rPr>
        <w:t xml:space="preserve"> A aplicação de qualquer das penalidades previstas realizar-se-á em processo administrativo que assegurará o contraditório e </w:t>
      </w:r>
      <w:r>
        <w:rPr>
          <w:rFonts w:ascii="Arial" w:hAnsi="Arial" w:cs="Arial"/>
        </w:rPr>
        <w:t xml:space="preserve">a ampla defesa, observando-se o procedimento previsto na Lei nº 14.133/2021 e no Decreto Municipal nº 11.685/2023.</w:t>
      </w:r>
      <w:r>
        <w:rPr>
          <w:rFonts w:ascii="Arial" w:hAnsi="Arial" w:cs="Arial"/>
        </w:rPr>
      </w:r>
    </w:p>
    <w:p>
      <w:pPr>
        <w:pStyle w:val="828"/>
        <w:pBdr/>
        <w:spacing/>
        <w:ind/>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16.6.</w:t>
      </w:r>
      <w:r>
        <w:rPr>
          <w:rFonts w:ascii="Arial" w:hAnsi="Arial" w:cs="Arial"/>
        </w:rPr>
        <w:t xml:space="preserve"> A autoridade competente, na aplicação das sanções, levará em consideração:</w:t>
      </w:r>
      <w:r>
        <w:rPr>
          <w:rFonts w:ascii="Arial" w:hAnsi="Arial" w:cs="Arial"/>
        </w:rPr>
      </w:r>
    </w:p>
    <w:p>
      <w:pPr>
        <w:pStyle w:val="828"/>
        <w:pBdr/>
        <w:spacing/>
        <w:ind/>
        <w:jc w:val="both"/>
        <w:rPr>
          <w:rFonts w:ascii="Arial" w:hAnsi="Arial" w:cs="Arial"/>
        </w:rPr>
      </w:pPr>
      <w:r>
        <w:rPr>
          <w:rFonts w:ascii="Arial" w:hAnsi="Arial" w:cs="Arial"/>
          <w:b/>
        </w:rPr>
        <w:t xml:space="preserve">16.6.1.</w:t>
      </w:r>
      <w:r>
        <w:rPr>
          <w:rFonts w:ascii="Arial" w:hAnsi="Arial" w:cs="Arial"/>
        </w:rPr>
        <w:t xml:space="preserve"> a natureza e a gravidade da infração cometida; </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16.6.2.</w:t>
      </w:r>
      <w:r>
        <w:rPr>
          <w:rFonts w:ascii="Arial" w:hAnsi="Arial" w:cs="Arial"/>
        </w:rPr>
        <w:t xml:space="preserve"> as peculiaridades do caso concreto;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16.6.3.</w:t>
      </w:r>
      <w:r>
        <w:rPr>
          <w:rFonts w:ascii="Arial" w:hAnsi="Arial" w:cs="Arial"/>
        </w:rPr>
        <w:t xml:space="preserve"> as circunstâncias agravantes ou atenuantes;</w:t>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16.6.4.</w:t>
      </w:r>
      <w:r>
        <w:rPr>
          <w:rFonts w:ascii="Arial" w:hAnsi="Arial" w:cs="Arial"/>
        </w:rPr>
        <w:t xml:space="preserve"> os danos que dela provierem para o contratante;</w:t>
      </w:r>
      <w:r>
        <w:rPr>
          <w:rFonts w:ascii="Arial" w:hAnsi="Arial" w:cs="Arial"/>
        </w:rPr>
      </w:r>
    </w:p>
    <w:p>
      <w:pPr>
        <w:pStyle w:val="828"/>
        <w:pBdr/>
        <w:spacing/>
        <w:ind/>
        <w:jc w:val="both"/>
        <w:rPr>
          <w:rFonts w:ascii="Arial" w:hAnsi="Arial" w:cs="Arial"/>
        </w:rPr>
      </w:pPr>
      <w:r>
        <w:rPr>
          <w:rFonts w:ascii="Arial" w:hAnsi="Arial" w:cs="Arial"/>
          <w:b/>
        </w:rPr>
        <w:t xml:space="preserve">16.6.5.</w:t>
      </w:r>
      <w:r>
        <w:rPr>
          <w:rFonts w:ascii="Arial" w:hAnsi="Arial" w:cs="Arial"/>
        </w:rPr>
        <w:t xml:space="preserve"> a implantação ou o aperfeiçoamento de programa de integridade, conforme normas e orientações do</w:t>
      </w:r>
      <w:r>
        <w:rPr>
          <w:rFonts w:ascii="Arial" w:hAnsi="Arial" w:cs="Arial"/>
        </w:rPr>
        <w:t xml:space="preserve">s órgãos de controle.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16.7.</w:t>
      </w:r>
      <w:r>
        <w:rPr>
          <w:rFonts w:ascii="Arial" w:hAnsi="Arial" w:cs="Arial"/>
        </w:rPr>
        <w:t xml:space="preserve"> Os atos previstos como infrações administrativas na Lei nº 14.133, de 2021, ou em outras leis de licitações e contratos da Administração Pública </w:t>
      </w:r>
      <w:r>
        <w:rPr>
          <w:rFonts w:ascii="Arial" w:hAnsi="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16.8.</w:t>
      </w:r>
      <w:r>
        <w:rPr>
          <w:rFonts w:ascii="Arial" w:hAnsi="Arial" w:cs="Arial"/>
        </w:rPr>
        <w:t xml:space="preserve"> A personalidade jurídica do Contratado poderá ser desconsiderada sempre qu</w:t>
      </w:r>
      <w:r>
        <w:rPr>
          <w:rFonts w:ascii="Arial" w:hAnsi="Arial" w:cs="Arial"/>
        </w:rPr>
        <w:t xml:space="preserve">e utilizada com abuso do direito para facilitar, encobrir ou dissimular a prática dos atos ilícitos previstos neste Contrato ou para provocar confusão patrimonial, e, nesse caso, todos os efeitos das sanções aplicadas à pessoa jurídica serão estendidos aos</w:t>
      </w:r>
      <w:r>
        <w:rPr>
          <w:rFonts w:ascii="Arial" w:hAnsi="Arial" w:cs="Arial"/>
        </w:rPr>
        <w:t xml:space="preserve"> seus administradores e sócios com poderes de administração, à pessoa jurídica sucessora ou à empresa do mesmo ramo com relação de coligação ou controle, de fato ou de direito, com o Contratado, observados, em todos os casos, o contraditório, a ampla defes</w:t>
      </w:r>
      <w:r>
        <w:rPr>
          <w:rFonts w:ascii="Arial" w:hAnsi="Arial" w:cs="Arial"/>
        </w:rPr>
        <w:t xml:space="preserve">a e a obrigatoriedade de análise jurídica prévia.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16.9.</w:t>
      </w:r>
      <w:r>
        <w:rPr>
          <w:rFonts w:ascii="Arial" w:hAnsi="Arial" w:cs="Arial"/>
        </w:rPr>
        <w:t xml:space="preserve"> As sanções de impedimento de licitar e contratar e declaração de inidoneidade para licitar ou contratar são passíveis de reabilitação na forma do art. 163 da Lei nº 14.133/2021.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CLÁUSULA DÉCIMA SÉTIMA – CLÁUSULA ANTICORRUPÇÃO:</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17.1.</w:t>
      </w:r>
      <w:r>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w:t>
      </w:r>
      <w:r>
        <w:rPr>
          <w:rFonts w:ascii="Arial" w:hAnsi="Arial" w:cs="Arial"/>
        </w:rPr>
        <w:t xml:space="preserve">médio de outrem, qualquer pagam</w:t>
      </w:r>
      <w:r>
        <w:rPr>
          <w:rFonts w:ascii="Arial" w:hAnsi="Arial" w:cs="Arial"/>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tabs>
          <w:tab w:val="left" w:leader="none" w:pos="426"/>
        </w:tabs>
        <w:spacing/>
        <w:ind/>
        <w:jc w:val="both"/>
        <w:rPr>
          <w:rFonts w:ascii="Arial" w:hAnsi="Arial" w:cs="Arial"/>
        </w:rPr>
      </w:pPr>
      <w:r>
        <w:rPr>
          <w:rFonts w:ascii="Arial" w:hAnsi="Arial" w:cs="Arial"/>
          <w:b/>
        </w:rPr>
        <w:t xml:space="preserve">17.2.</w:t>
      </w:r>
      <w:r>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CLÁUSULA DÉCIM</w:t>
      </w:r>
      <w:r>
        <w:rPr>
          <w:rFonts w:ascii="Arial" w:hAnsi="Arial" w:cs="Arial"/>
          <w:b/>
        </w:rPr>
        <w:t xml:space="preserve">A OITAVA – DA NULIDADE DO CONTRATO:</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b/>
        </w:rPr>
        <w:t xml:space="preserve">18.1.</w:t>
      </w:r>
      <w:r>
        <w:rPr>
          <w:rFonts w:ascii="Arial" w:hAnsi="Arial" w:cs="Arial"/>
        </w:rPr>
        <w:t xml:space="preserve"> Constatada irregularidade no procedimento licitatório ou na execução contratual, caso não seja poss</w:t>
      </w:r>
      <w:r>
        <w:rPr>
          <w:rFonts w:ascii="Arial" w:hAnsi="Arial" w:cs="Arial"/>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18.2.</w:t>
      </w:r>
      <w:r>
        <w:rPr>
          <w:rFonts w:ascii="Arial" w:hAnsi="Arial" w:cs="Arial"/>
        </w:rPr>
        <w:t xml:space="preserve"> A nulidade não exonera o contratante do dever de indenizar o contratado pelo que houver executado até a da</w:t>
      </w:r>
      <w:r>
        <w:rPr>
          <w:rFonts w:ascii="Arial" w:hAnsi="Arial" w:cs="Arial"/>
        </w:rPr>
        <w:t xml:space="preserve">ta em </w:t>
      </w:r>
      <w:r>
        <w:rPr>
          <w:rFonts w:ascii="Arial" w:hAnsi="Arial" w:cs="Arial"/>
        </w:rPr>
        <w:t xml:space="preserve">que for declarada ou tornada eficaz, bem como por outros prejuízos regularmente comprovados, desde que não lhe seja imputável, e será promovida a responsabilização de quem lhe tenha dado causa, nos termos do que estabelece o art. 149 da Lei nº 14.133/2021.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b/>
        </w:rPr>
        <w:t xml:space="preserve">CLÁ</w:t>
      </w:r>
      <w:r>
        <w:rPr>
          <w:rFonts w:ascii="Arial" w:hAnsi="Arial" w:cs="Arial"/>
          <w:b/>
        </w:rPr>
        <w:t xml:space="preserve">USULA DÉCIMA NONA – GARANTIA DO OBJETO</w:t>
      </w:r>
      <w:r>
        <w:rPr>
          <w:rFonts w:ascii="Arial" w:hAnsi="Arial" w:cs="Arial"/>
        </w:rPr>
      </w:r>
      <w:r>
        <w:rPr>
          <w:rFonts w:ascii="Arial" w:hAnsi="Arial" w:cs="Arial"/>
        </w:rPr>
      </w:r>
    </w:p>
    <w:p>
      <w:pPr>
        <w:pStyle w:val="984"/>
        <w:pBdr/>
        <w:spacing/>
        <w:ind/>
        <w:jc w:val="both"/>
        <w:rPr>
          <w:rFonts w:ascii="Arial" w:hAnsi="Arial" w:cs="Arial"/>
          <w:sz w:val="20"/>
          <w:szCs w:val="20"/>
        </w:rPr>
      </w:pPr>
      <w:r>
        <w:rPr>
          <w:rFonts w:ascii="Arial" w:hAnsi="Arial" w:cs="Arial"/>
          <w:b/>
          <w:sz w:val="20"/>
          <w:szCs w:val="20"/>
        </w:rPr>
        <w:t xml:space="preserve">19.1</w:t>
      </w:r>
      <w:r>
        <w:rPr>
          <w:rFonts w:ascii="Arial" w:hAnsi="Arial" w:cs="Arial"/>
          <w:sz w:val="20"/>
          <w:szCs w:val="20"/>
        </w:rPr>
        <w:t xml:space="preserve">.</w:t>
      </w:r>
      <w:r>
        <w:rPr>
          <w:rFonts w:ascii="Arial" w:hAnsi="Arial" w:cs="Arial"/>
          <w:sz w:val="20"/>
          <w:szCs w:val="20"/>
        </w:rPr>
        <w:t xml:space="preserve"> </w:t>
      </w:r>
      <w:r>
        <w:rPr>
          <w:rFonts w:ascii="Arial" w:hAnsi="Arial" w:cs="Arial"/>
          <w:sz w:val="20"/>
          <w:szCs w:val="20"/>
        </w:rPr>
        <w:t xml:space="preserve">Os itens fornecidos pela CONTRATADA deverão atender aos padrões de qualidade, durabilidade, segurança e adequação ao uso a que se destinam, aplicando-se, no que couber, as disposições da Lei nº 8.078/</w:t>
      </w:r>
      <w:r>
        <w:rPr>
          <w:rFonts w:ascii="Arial" w:hAnsi="Arial" w:cs="Arial"/>
          <w:sz w:val="20"/>
          <w:szCs w:val="20"/>
        </w:rPr>
        <w:t xml:space="preserve">1990 (Código de Defesa do Consumidor), especialmente no que se refere à garantia legal contra vícios e defeitos.</w:t>
      </w:r>
      <w:r>
        <w:rPr>
          <w:rFonts w:ascii="Arial" w:hAnsi="Arial" w:cs="Arial"/>
          <w:sz w:val="20"/>
          <w:szCs w:val="20"/>
        </w:rPr>
      </w:r>
    </w:p>
    <w:p>
      <w:pPr>
        <w:pStyle w:val="828"/>
        <w:pBdr/>
        <w:spacing w:after="100" w:afterAutospacing="1" w:before="100" w:beforeAutospacing="1"/>
        <w:ind/>
        <w:jc w:val="both"/>
        <w:rPr>
          <w:rFonts w:ascii="Arial" w:hAnsi="Arial" w:cs="Arial"/>
        </w:rPr>
      </w:pPr>
      <w:r>
        <w:rPr>
          <w:rFonts w:ascii="Arial" w:hAnsi="Arial" w:cs="Arial"/>
          <w:b/>
        </w:rPr>
        <w:t xml:space="preserve">19.2.</w:t>
      </w:r>
      <w:r>
        <w:rPr>
          <w:rFonts w:ascii="Arial" w:hAnsi="Arial" w:cs="Arial"/>
        </w:rPr>
        <w:t xml:space="preserve"> Constatado vício, defeito ou desconformidade nos produtos fornecidos, a CONTRATAD</w:t>
      </w:r>
      <w:r>
        <w:rPr>
          <w:rFonts w:ascii="Arial" w:hAnsi="Arial" w:cs="Arial"/>
        </w:rPr>
        <w:t xml:space="preserve">A ficará obrigada a promover, sem ônus para a CONTRATANTE, a substituição ou correção do item no prazo máximo de até 10 (dez) dias corridos, contados do recebimento da notificação expedida pela Administração, sem prejuízo da aplicação das sanções cabíveis.</w:t>
      </w:r>
      <w:r>
        <w:rPr>
          <w:rFonts w:ascii="Arial" w:hAnsi="Arial" w:cs="Arial"/>
        </w:rPr>
      </w:r>
    </w:p>
    <w:p>
      <w:pPr>
        <w:pStyle w:val="828"/>
        <w:pBdr/>
        <w:spacing w:after="100" w:afterAutospacing="1" w:before="100" w:beforeAutospacing="1"/>
        <w:ind/>
        <w:jc w:val="both"/>
        <w:rPr>
          <w:rFonts w:ascii="Arial" w:hAnsi="Arial" w:cs="Arial"/>
        </w:rPr>
      </w:pPr>
      <w:r>
        <w:rPr>
          <w:rFonts w:ascii="Arial" w:hAnsi="Arial" w:cs="Arial"/>
          <w:b/>
        </w:rPr>
        <w:t xml:space="preserve">19.3.</w:t>
      </w:r>
      <w:r>
        <w:rPr>
          <w:rFonts w:ascii="Arial" w:hAnsi="Arial" w:cs="Arial"/>
        </w:rPr>
        <w:t xml:space="preserve"> A substituição ou correção do objeto não afasta a</w:t>
      </w:r>
      <w:r>
        <w:rPr>
          <w:rFonts w:ascii="Arial" w:hAnsi="Arial" w:cs="Arial"/>
        </w:rPr>
        <w:t xml:space="preserve"> responsabilidade da CONTRATADA quanto ao fiel cumprimento das obrigações contratuais, nem interrompe a contagem dos prazos ou a apuração de eventual inadimplemento, quando cabível.</w:t>
      </w:r>
      <w:r>
        <w:rPr>
          <w:rFonts w:ascii="Arial" w:hAnsi="Arial" w:cs="Arial"/>
        </w:rPr>
      </w:r>
    </w:p>
    <w:p>
      <w:pPr>
        <w:pStyle w:val="828"/>
        <w:pBdr/>
        <w:spacing w:after="100" w:afterAutospacing="1" w:before="100" w:beforeAutospacing="1"/>
        <w:ind/>
        <w:jc w:val="both"/>
        <w:rPr>
          <w:rFonts w:ascii="Arial" w:hAnsi="Arial" w:cs="Arial"/>
          <w:b/>
        </w:rPr>
      </w:pPr>
      <w:r>
        <w:rPr>
          <w:rFonts w:ascii="Arial" w:hAnsi="Arial" w:cs="Arial"/>
          <w:b/>
        </w:rPr>
        <w:t xml:space="preserve">20. DA GARANTIA DA EXECUÇÃO CONTRATUAL</w:t>
      </w:r>
      <w:r>
        <w:rPr>
          <w:rFonts w:ascii="Arial" w:hAnsi="Arial" w:cs="Arial"/>
        </w:rPr>
        <w:t xml:space="preserve">:</w:t>
      </w:r>
      <w:r>
        <w:rPr>
          <w:rFonts w:ascii="Arial" w:hAnsi="Arial" w:cs="Arial"/>
          <w:b/>
        </w:rPr>
      </w:r>
      <w:r>
        <w:rPr>
          <w:rFonts w:ascii="Arial" w:hAnsi="Arial" w:cs="Arial"/>
          <w:b/>
        </w:rPr>
      </w:r>
    </w:p>
    <w:p>
      <w:pPr>
        <w:pStyle w:val="984"/>
        <w:pBdr/>
        <w:spacing/>
        <w:ind/>
        <w:jc w:val="both"/>
        <w:rPr>
          <w:rFonts w:ascii="Arial" w:hAnsi="Arial" w:cs="Arial"/>
          <w:sz w:val="20"/>
          <w:szCs w:val="20"/>
        </w:rPr>
      </w:pPr>
      <w:r>
        <w:rPr>
          <w:rFonts w:ascii="Arial" w:hAnsi="Arial" w:cs="Arial"/>
          <w:b/>
          <w:bCs/>
          <w:sz w:val="20"/>
          <w:szCs w:val="20"/>
        </w:rPr>
        <w:t xml:space="preserve">20.1.</w:t>
      </w:r>
      <w:r>
        <w:rPr>
          <w:rFonts w:ascii="Arial" w:hAnsi="Arial" w:cs="Arial"/>
          <w:sz w:val="20"/>
          <w:szCs w:val="20"/>
        </w:rPr>
        <w:t xml:space="preserve"> </w:t>
      </w:r>
      <w:r>
        <w:rPr>
          <w:rFonts w:ascii="Arial" w:hAnsi="Arial" w:cs="Arial"/>
          <w:sz w:val="20"/>
          <w:szCs w:val="20"/>
        </w:rPr>
        <w:t xml:space="preserve">Para a presente contratação,</w:t>
      </w:r>
      <w:r>
        <w:rPr>
          <w:rFonts w:ascii="Arial" w:hAnsi="Arial" w:cs="Arial"/>
          <w:sz w:val="20"/>
          <w:szCs w:val="20"/>
        </w:rPr>
        <w:t xml:space="preserve"> não será exigida garantia de execução contratual, nos termos do art. 96 da Lei nº 14.133/2021, considerando que o objeto consiste no fornecimento de bens comuns, de baixa complexidade, com entrega imediata e sem riscos relevantes de inadimplemento que jus</w:t>
      </w:r>
      <w:r>
        <w:rPr>
          <w:rFonts w:ascii="Arial" w:hAnsi="Arial" w:cs="Arial"/>
          <w:sz w:val="20"/>
          <w:szCs w:val="20"/>
        </w:rPr>
        <w:t xml:space="preserve">tifiquem a exigência de garantia para assegurar a execução contratual.</w:t>
      </w:r>
      <w:r>
        <w:rPr>
          <w:rFonts w:ascii="Arial" w:hAnsi="Arial" w:cs="Arial"/>
          <w:sz w:val="20"/>
          <w:szCs w:val="20"/>
        </w:rPr>
      </w:r>
    </w:p>
    <w:p>
      <w:pPr>
        <w:pStyle w:val="984"/>
        <w:pBdr/>
        <w:spacing/>
        <w:ind/>
        <w:jc w:val="both"/>
        <w:rPr>
          <w:rFonts w:ascii="Arial" w:hAnsi="Arial" w:cs="Arial"/>
          <w:sz w:val="20"/>
          <w:szCs w:val="20"/>
        </w:rPr>
      </w:pPr>
      <w:r>
        <w:rPr>
          <w:rFonts w:ascii="Arial" w:hAnsi="Arial" w:cs="Arial"/>
          <w:b/>
          <w:sz w:val="20"/>
          <w:szCs w:val="20"/>
        </w:rPr>
        <w:t xml:space="preserve">CLÁUSULA VIGÉSIMA PRIMEIRA – DO DIREITO DE PETIÇÃO:</w:t>
      </w:r>
      <w:r>
        <w:rPr>
          <w:rFonts w:ascii="Arial" w:hAnsi="Arial" w:cs="Arial"/>
          <w:sz w:val="20"/>
          <w:szCs w:val="20"/>
        </w:rPr>
      </w:r>
      <w:r>
        <w:rPr>
          <w:rFonts w:ascii="Arial" w:hAnsi="Arial" w:cs="Arial"/>
          <w:sz w:val="20"/>
          <w:szCs w:val="20"/>
        </w:rPr>
      </w:r>
    </w:p>
    <w:p>
      <w:pPr>
        <w:pStyle w:val="828"/>
        <w:pBdr/>
        <w:spacing/>
        <w:ind w:right="-5"/>
        <w:jc w:val="both"/>
        <w:rPr>
          <w:rFonts w:ascii="Arial" w:hAnsi="Arial" w:cs="Arial"/>
        </w:rPr>
      </w:pPr>
      <w:r>
        <w:rPr>
          <w:rFonts w:ascii="Arial" w:hAnsi="Arial" w:cs="Arial"/>
          <w:b/>
        </w:rPr>
        <w:t xml:space="preserve">21.</w:t>
      </w:r>
      <w:r>
        <w:rPr>
          <w:rStyle w:val="905"/>
          <w:rFonts w:ascii="Arial" w:hAnsi="Arial" w:eastAsia="Calibri" w:cs="Arial"/>
          <w:b/>
        </w:rPr>
        <w:t xml:space="preserve">1</w:t>
      </w:r>
      <w:r>
        <w:rPr>
          <w:rStyle w:val="905"/>
          <w:rFonts w:ascii="Arial" w:hAnsi="Arial" w:eastAsia="Calibri" w:cs="Arial"/>
        </w:rPr>
        <w:t xml:space="preserve">. No tocante a recursos, representações e pedidos de reconsideração, deverá ser observado o disposto no art. 164 da Lei nº 14.133/2021.</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right="-5"/>
        <w:rPr>
          <w:rFonts w:ascii="Arial" w:hAnsi="Arial" w:cs="Arial"/>
        </w:rPr>
      </w:pPr>
      <w:r>
        <w:rPr>
          <w:rFonts w:ascii="Arial" w:hAnsi="Arial" w:cs="Arial"/>
          <w:b/>
        </w:rPr>
        <w:t xml:space="preserve">CLÁUSULA VIGÉSIMA SEGUNDA - DAS DISPOSIÇÕES GERAIS:</w:t>
      </w:r>
      <w:r>
        <w:rPr>
          <w:rFonts w:ascii="Arial" w:hAnsi="Arial" w:cs="Arial"/>
        </w:rPr>
      </w:r>
      <w:r>
        <w:rPr>
          <w:rFonts w:ascii="Arial" w:hAnsi="Arial" w:cs="Arial"/>
        </w:rPr>
      </w:r>
    </w:p>
    <w:p>
      <w:pPr>
        <w:pStyle w:val="828"/>
        <w:pBdr/>
        <w:spacing/>
        <w:ind w:right="-5"/>
        <w:jc w:val="both"/>
        <w:rPr>
          <w:rFonts w:ascii="Arial" w:hAnsi="Arial" w:cs="Arial"/>
          <w:b/>
        </w:rPr>
      </w:pPr>
      <w:r>
        <w:rPr>
          <w:rFonts w:ascii="Arial" w:hAnsi="Arial" w:cs="Arial"/>
          <w:b/>
        </w:rPr>
      </w:r>
      <w:r>
        <w:rPr>
          <w:rFonts w:ascii="Arial" w:hAnsi="Arial" w:cs="Arial"/>
          <w:b/>
        </w:rPr>
      </w:r>
    </w:p>
    <w:p>
      <w:pPr>
        <w:pStyle w:val="828"/>
        <w:pBdr/>
        <w:spacing/>
        <w:ind w:right="-5"/>
        <w:jc w:val="both"/>
        <w:rPr>
          <w:rFonts w:ascii="Arial" w:hAnsi="Arial" w:cs="Arial"/>
        </w:rPr>
      </w:pPr>
      <w:r>
        <w:rPr>
          <w:rStyle w:val="905"/>
          <w:rFonts w:ascii="Arial" w:hAnsi="Arial" w:eastAsia="Calibri" w:cs="Arial"/>
          <w:b/>
        </w:rPr>
        <w:t xml:space="preserve">22.1. DOS FUNDAMENTOS LEGAIS E DA SUJEIÇÃO ÀS NORMAS LEGAIS E CONTRATUAIS: </w:t>
      </w:r>
      <w:r>
        <w:rPr>
          <w:rFonts w:ascii="Arial" w:hAnsi="Arial" w:cs="Arial"/>
        </w:rPr>
      </w:r>
      <w:r>
        <w:rPr>
          <w:rFonts w:ascii="Arial" w:hAnsi="Arial" w:cs="Arial"/>
        </w:rPr>
      </w:r>
    </w:p>
    <w:p>
      <w:pPr>
        <w:pStyle w:val="828"/>
        <w:pBdr/>
        <w:spacing/>
        <w:ind w:right="-5" w:left="708"/>
        <w:jc w:val="both"/>
        <w:rPr>
          <w:rFonts w:ascii="Arial" w:hAnsi="Arial" w:cs="Arial"/>
        </w:rPr>
      </w:pPr>
      <w:r>
        <w:rPr>
          <w:rFonts w:ascii="Arial" w:hAnsi="Arial" w:cs="Arial"/>
        </w:rPr>
      </w:r>
      <w:r>
        <w:rPr>
          <w:rFonts w:ascii="Arial" w:hAnsi="Arial" w:cs="Arial"/>
        </w:rPr>
      </w:r>
    </w:p>
    <w:p>
      <w:pPr>
        <w:pStyle w:val="828"/>
        <w:pBdr/>
        <w:spacing/>
        <w:ind w:right="-5" w:left="708"/>
        <w:jc w:val="both"/>
        <w:rPr>
          <w:rFonts w:ascii="Arial" w:hAnsi="Arial" w:cs="Arial"/>
        </w:rPr>
      </w:pPr>
      <w:r>
        <w:rPr>
          <w:rStyle w:val="905"/>
          <w:rFonts w:ascii="Arial" w:hAnsi="Arial" w:eastAsia="Calibri" w:cs="Arial"/>
          <w:b/>
        </w:rPr>
        <w:t xml:space="preserve">22.1.1.</w:t>
      </w:r>
      <w:r>
        <w:rPr>
          <w:rStyle w:val="905"/>
          <w:rFonts w:ascii="Arial" w:hAnsi="Arial" w:eastAsia="Calibri" w:cs="Arial"/>
        </w:rPr>
        <w:t xml:space="preserve"> A legislação aplicável a este Contrato é a constante do </w:t>
      </w:r>
      <w:r>
        <w:rPr>
          <w:rFonts w:ascii="Arial" w:hAnsi="Arial" w:cs="Arial"/>
        </w:rPr>
        <w:t xml:space="preserve">Decreto Municipal nº 11.685/2023 </w:t>
      </w:r>
      <w:r>
        <w:rPr>
          <w:rStyle w:val="905"/>
          <w:rFonts w:ascii="Arial" w:hAnsi="Arial" w:eastAsia="Calibri" w:cs="Arial"/>
        </w:rPr>
        <w:t xml:space="preserve">e a Lei nº 14.133/21 </w:t>
      </w:r>
      <w:r>
        <w:rPr>
          <w:rStyle w:val="905"/>
          <w:rFonts w:ascii="Arial" w:hAnsi="Arial" w:eastAsia="Calibri" w:cs="Arial"/>
        </w:rPr>
        <w:t xml:space="preserve">e demais disposições aplicáveis as Licitações e Contratos Administrativos.  </w:t>
      </w:r>
      <w:r>
        <w:rPr>
          <w:rFonts w:ascii="Arial" w:hAnsi="Arial" w:cs="Arial"/>
        </w:rPr>
      </w:r>
      <w:r>
        <w:rPr>
          <w:rFonts w:ascii="Arial" w:hAnsi="Arial" w:cs="Arial"/>
        </w:rPr>
      </w:r>
    </w:p>
    <w:p>
      <w:pPr>
        <w:pStyle w:val="828"/>
        <w:pBdr/>
        <w:spacing/>
        <w:ind w:right="-5" w:left="708"/>
        <w:jc w:val="both"/>
        <w:rPr>
          <w:rFonts w:ascii="Arial" w:hAnsi="Arial" w:cs="Arial"/>
        </w:rPr>
      </w:pPr>
      <w:r>
        <w:rPr>
          <w:rFonts w:ascii="Arial" w:hAnsi="Arial" w:cs="Arial"/>
        </w:rPr>
      </w:r>
      <w:r>
        <w:rPr>
          <w:rFonts w:ascii="Arial" w:hAnsi="Arial" w:cs="Arial"/>
        </w:rPr>
      </w:r>
    </w:p>
    <w:p>
      <w:pPr>
        <w:pStyle w:val="828"/>
        <w:pBdr/>
        <w:spacing/>
        <w:ind w:right="-5" w:hanging="142" w:left="709"/>
        <w:jc w:val="both"/>
        <w:rPr>
          <w:rFonts w:ascii="Arial" w:hAnsi="Arial" w:cs="Arial"/>
        </w:rPr>
      </w:pPr>
      <w:r>
        <w:rPr>
          <w:rStyle w:val="905"/>
          <w:rFonts w:ascii="Arial" w:hAnsi="Arial" w:eastAsia="Arial" w:cs="Arial"/>
          <w:b/>
        </w:rPr>
        <w:t xml:space="preserve">   </w:t>
      </w:r>
      <w:r>
        <w:rPr>
          <w:rStyle w:val="905"/>
          <w:rFonts w:ascii="Arial" w:hAnsi="Arial" w:eastAsia="Calibri" w:cs="Arial"/>
          <w:b/>
        </w:rPr>
        <w:t xml:space="preserve">22.1.2.</w:t>
      </w:r>
      <w:r>
        <w:rPr>
          <w:rStyle w:val="905"/>
          <w:rFonts w:ascii="Arial" w:hAnsi="Arial" w:eastAsia="Calibri" w:cs="Arial"/>
        </w:rPr>
        <w:t xml:space="preserve"> Os casos omissos que se tornarem controvertidos em face das cláusulas do presente contrato serão   resolvidos segundo os princípios jurídicos aplicáveis, e entendimentos dos tribunais de contas.</w:t>
      </w:r>
      <w:r>
        <w:rPr>
          <w:rFonts w:ascii="Arial" w:hAnsi="Arial" w:cs="Arial"/>
        </w:rPr>
      </w:r>
      <w:r>
        <w:rPr>
          <w:rFonts w:ascii="Arial" w:hAnsi="Arial" w:cs="Arial"/>
        </w:rPr>
      </w:r>
    </w:p>
    <w:p>
      <w:pPr>
        <w:pStyle w:val="828"/>
        <w:pBdr/>
        <w:spacing/>
        <w:ind w:right="-5" w:left="708"/>
        <w:jc w:val="both"/>
        <w:rPr>
          <w:rFonts w:ascii="Arial" w:hAnsi="Arial" w:cs="Arial"/>
        </w:rPr>
      </w:pPr>
      <w:r>
        <w:rPr>
          <w:rFonts w:ascii="Arial" w:hAnsi="Arial" w:cs="Arial"/>
        </w:rPr>
      </w:r>
      <w:r>
        <w:rPr>
          <w:rFonts w:ascii="Arial" w:hAnsi="Arial" w:cs="Arial"/>
        </w:rPr>
      </w:r>
    </w:p>
    <w:p>
      <w:pPr>
        <w:pStyle w:val="828"/>
        <w:pBdr/>
        <w:spacing/>
        <w:ind w:right="-5" w:left="708"/>
        <w:jc w:val="both"/>
        <w:rPr>
          <w:rFonts w:ascii="Arial" w:hAnsi="Arial" w:cs="Arial"/>
        </w:rPr>
      </w:pPr>
      <w:r>
        <w:rPr>
          <w:rStyle w:val="905"/>
          <w:rFonts w:ascii="Arial" w:hAnsi="Arial" w:eastAsia="Calibri" w:cs="Arial"/>
          <w:b/>
        </w:rPr>
        <w:t xml:space="preserve">22.1.3.</w:t>
      </w:r>
      <w:r>
        <w:rPr>
          <w:rStyle w:val="905"/>
          <w:rFonts w:ascii="Arial" w:hAnsi="Arial" w:eastAsia="Calibri" w:cs="Arial"/>
        </w:rPr>
        <w:t xml:space="preserve"> Após a assinatura deste Contrato, toda comunicação entre o </w:t>
      </w:r>
      <w:r>
        <w:rPr>
          <w:rStyle w:val="905"/>
          <w:rFonts w:ascii="Arial" w:hAnsi="Arial" w:eastAsia="Calibri" w:cs="Arial"/>
          <w:b/>
        </w:rPr>
        <w:t xml:space="preserve">CONTRATANTE</w:t>
      </w:r>
      <w:r>
        <w:rPr>
          <w:rStyle w:val="905"/>
          <w:rFonts w:ascii="Arial" w:hAnsi="Arial" w:eastAsia="Calibri" w:cs="Arial"/>
        </w:rPr>
        <w:t xml:space="preserve"> e a </w:t>
      </w:r>
      <w:r>
        <w:rPr>
          <w:rStyle w:val="905"/>
          <w:rFonts w:ascii="Arial" w:hAnsi="Arial" w:eastAsia="Calibri" w:cs="Arial"/>
          <w:b/>
        </w:rPr>
        <w:t xml:space="preserve">CONTRATADA</w:t>
      </w:r>
      <w:r>
        <w:rPr>
          <w:rStyle w:val="905"/>
          <w:rFonts w:ascii="Arial" w:hAnsi="Arial" w:eastAsia="Calibri" w:cs="Arial"/>
        </w:rPr>
        <w:t xml:space="preserve"> será feita através de correspondência devidamente registrada. </w:t>
      </w:r>
      <w:r>
        <w:rPr>
          <w:rFonts w:ascii="Arial" w:hAnsi="Arial" w:cs="Arial"/>
        </w:rPr>
      </w:r>
      <w:r>
        <w:rPr>
          <w:rFonts w:ascii="Arial" w:hAnsi="Arial" w:cs="Arial"/>
        </w:rPr>
      </w:r>
    </w:p>
    <w:p>
      <w:pPr>
        <w:pStyle w:val="828"/>
        <w:pBdr/>
        <w:spacing/>
        <w:ind w:right="-5" w:left="708"/>
        <w:jc w:val="both"/>
        <w:rPr>
          <w:rFonts w:ascii="Arial" w:hAnsi="Arial" w:cs="Arial"/>
        </w:rPr>
      </w:pPr>
      <w:r>
        <w:rPr>
          <w:rFonts w:ascii="Arial" w:hAnsi="Arial" w:cs="Arial"/>
        </w:rPr>
      </w:r>
      <w:r>
        <w:rPr>
          <w:rFonts w:ascii="Arial" w:hAnsi="Arial" w:cs="Arial"/>
        </w:rPr>
      </w:r>
    </w:p>
    <w:p>
      <w:pPr>
        <w:pStyle w:val="828"/>
        <w:pBdr/>
        <w:spacing/>
        <w:ind w:right="-5" w:left="708"/>
        <w:jc w:val="both"/>
        <w:rPr>
          <w:rFonts w:ascii="Arial" w:hAnsi="Arial" w:cs="Arial"/>
        </w:rPr>
      </w:pPr>
      <w:r>
        <w:rPr>
          <w:rStyle w:val="905"/>
          <w:rFonts w:ascii="Arial" w:hAnsi="Arial" w:eastAsia="Calibri" w:cs="Arial"/>
          <w:b/>
        </w:rPr>
        <w:t xml:space="preserve">22.1.4.</w:t>
      </w:r>
      <w:r>
        <w:rPr>
          <w:rStyle w:val="905"/>
          <w:rFonts w:ascii="Arial" w:hAnsi="Arial" w:eastAsia="Calibri" w:cs="Arial"/>
        </w:rPr>
        <w:t xml:space="preserve"> Qualquer alteração nas condições ora estipuladas neste Contra</w:t>
      </w:r>
      <w:r>
        <w:rPr>
          <w:rStyle w:val="905"/>
          <w:rFonts w:ascii="Arial" w:hAnsi="Arial" w:eastAsia="Calibri" w:cs="Arial"/>
        </w:rPr>
        <w:t xml:space="preserve">to deverá ser feita através de Termo Aditivo, assinado pelos representantes legais das partes. </w:t>
      </w: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rPr>
      </w:r>
      <w:r>
        <w:rPr>
          <w:rFonts w:ascii="Arial" w:hAnsi="Arial" w:cs="Arial"/>
        </w:rPr>
      </w:r>
    </w:p>
    <w:p>
      <w:pPr>
        <w:pStyle w:val="828"/>
        <w:pBdr/>
        <w:spacing/>
        <w:ind w:right="-5"/>
        <w:jc w:val="both"/>
        <w:rPr>
          <w:rFonts w:ascii="Arial" w:hAnsi="Arial" w:cs="Arial"/>
        </w:rPr>
      </w:pPr>
      <w:r>
        <w:rPr>
          <w:rFonts w:ascii="Arial" w:hAnsi="Arial" w:cs="Arial"/>
          <w:b/>
        </w:rPr>
        <w:t xml:space="preserve">CLÁUSULA VIGÉSIMA TERCEIRA – DA VINCULAÇÃO AO EDITAL:</w:t>
      </w:r>
      <w:r>
        <w:rPr>
          <w:rFonts w:ascii="Arial" w:hAnsi="Arial" w:cs="Arial"/>
        </w:rPr>
      </w:r>
      <w:r>
        <w:rPr>
          <w:rFonts w:ascii="Arial" w:hAnsi="Arial" w:cs="Arial"/>
        </w:rPr>
      </w:r>
    </w:p>
    <w:p>
      <w:pPr>
        <w:pStyle w:val="828"/>
        <w:pBdr/>
        <w:spacing/>
        <w:ind w:right="-5"/>
        <w:jc w:val="both"/>
        <w:rPr>
          <w:rFonts w:ascii="Arial" w:hAnsi="Arial" w:cs="Arial"/>
          <w:b/>
          <w:u w:val="single"/>
        </w:rPr>
      </w:pPr>
      <w:r>
        <w:rPr>
          <w:rFonts w:ascii="Arial" w:hAnsi="Arial" w:cs="Arial"/>
          <w:b/>
          <w:u w:val="single"/>
        </w:rPr>
      </w:r>
      <w:r>
        <w:rPr>
          <w:rFonts w:ascii="Arial" w:hAnsi="Arial" w:cs="Arial"/>
          <w:b/>
          <w:u w:val="single"/>
        </w:rPr>
      </w:r>
    </w:p>
    <w:p>
      <w:pPr>
        <w:pStyle w:val="828"/>
        <w:pBdr/>
        <w:spacing/>
        <w:ind w:right="-5"/>
        <w:jc w:val="both"/>
        <w:rPr>
          <w:rFonts w:ascii="Arial" w:hAnsi="Arial" w:cs="Arial"/>
        </w:rPr>
      </w:pPr>
      <w:r>
        <w:rPr>
          <w:rFonts w:ascii="Arial" w:hAnsi="Arial" w:cs="Arial"/>
          <w:b/>
        </w:rPr>
        <w:t xml:space="preserve">23.1.</w:t>
      </w:r>
      <w:r>
        <w:rPr>
          <w:rFonts w:ascii="Arial" w:hAnsi="Arial" w:cs="Arial"/>
          <w:b/>
          <w:u w:val="single"/>
        </w:rPr>
        <w:t xml:space="preserve"> </w:t>
      </w:r>
      <w:r>
        <w:rPr>
          <w:rFonts w:ascii="Arial" w:hAnsi="Arial" w:cs="Arial"/>
        </w:rPr>
        <w:t xml:space="preserve">O presente </w:t>
      </w:r>
      <w:r>
        <w:rPr>
          <w:rFonts w:ascii="Arial" w:hAnsi="Arial" w:cs="Arial"/>
          <w:b/>
        </w:rPr>
        <w:t xml:space="preserve">CONTRATO</w:t>
      </w:r>
      <w:r>
        <w:rPr>
          <w:rFonts w:ascii="Arial" w:hAnsi="Arial" w:cs="Arial"/>
        </w:rPr>
        <w:t xml:space="preserve"> fica vinculado aos termos do </w:t>
      </w:r>
      <w:r>
        <w:rPr>
          <w:rFonts w:ascii="Arial" w:hAnsi="Arial" w:cs="Arial"/>
          <w:b/>
        </w:rPr>
        <w:t xml:space="preserve">Edital de Pregão, Termo de Referência e todos os anexos que os acompanham </w:t>
      </w:r>
      <w:r>
        <w:rPr>
          <w:rFonts w:ascii="Arial" w:hAnsi="Arial" w:cs="Arial"/>
        </w:rPr>
        <w:t xml:space="preserve">e à proposta da </w:t>
      </w:r>
      <w:r>
        <w:rPr>
          <w:rFonts w:ascii="Arial" w:hAnsi="Arial" w:cs="Arial"/>
          <w:bCs/>
        </w:rPr>
        <w:t xml:space="preserve">CONTRATADA.</w:t>
      </w:r>
      <w:r>
        <w:rPr>
          <w:rFonts w:ascii="Arial" w:hAnsi="Arial" w:cs="Arial"/>
        </w:rPr>
      </w:r>
      <w:r>
        <w:rPr>
          <w:rFonts w:ascii="Arial" w:hAnsi="Arial" w:cs="Arial"/>
        </w:rPr>
      </w:r>
    </w:p>
    <w:p>
      <w:pPr>
        <w:pStyle w:val="828"/>
        <w:pBdr/>
        <w:spacing/>
        <w:ind w:right="-5"/>
        <w:jc w:val="both"/>
        <w:rPr>
          <w:rFonts w:ascii="Arial" w:hAnsi="Arial" w:cs="Arial"/>
          <w:bCs/>
          <w:u w:val="single"/>
        </w:rPr>
      </w:pPr>
      <w:r>
        <w:rPr>
          <w:rFonts w:ascii="Arial" w:hAnsi="Arial" w:cs="Arial"/>
          <w:bCs/>
          <w:u w:val="single"/>
        </w:rPr>
      </w:r>
      <w:r>
        <w:rPr>
          <w:rFonts w:ascii="Arial" w:hAnsi="Arial" w:cs="Arial"/>
          <w:bCs/>
          <w:u w:val="single"/>
        </w:rPr>
      </w:r>
    </w:p>
    <w:p>
      <w:pPr>
        <w:pStyle w:val="828"/>
        <w:pBdr/>
        <w:spacing/>
        <w:ind w:right="-5"/>
        <w:jc w:val="both"/>
        <w:rPr>
          <w:rFonts w:ascii="Arial" w:hAnsi="Arial" w:cs="Arial"/>
        </w:rPr>
      </w:pPr>
      <w:r>
        <w:rPr>
          <w:rFonts w:ascii="Arial" w:hAnsi="Arial" w:cs="Arial"/>
          <w:b/>
        </w:rPr>
        <w:t xml:space="preserve">CLÁUSULA VIGÉSIMA QUARTA – CASOS OMISSOS</w:t>
      </w:r>
      <w:r>
        <w:rPr>
          <w:rFonts w:ascii="Arial" w:hAnsi="Arial" w:cs="Arial"/>
        </w:rPr>
      </w:r>
      <w:r>
        <w:rPr>
          <w:rFonts w:ascii="Arial" w:hAnsi="Arial" w:cs="Arial"/>
        </w:rPr>
      </w:r>
    </w:p>
    <w:p>
      <w:pPr>
        <w:pStyle w:val="828"/>
        <w:pBdr/>
        <w:spacing/>
        <w:ind w:right="-5"/>
        <w:jc w:val="both"/>
        <w:rPr>
          <w:rFonts w:ascii="Arial" w:hAnsi="Arial" w:cs="Arial"/>
          <w:b/>
        </w:rPr>
      </w:pPr>
      <w:r>
        <w:rPr>
          <w:rFonts w:ascii="Arial" w:hAnsi="Arial" w:cs="Arial"/>
          <w:b/>
        </w:rPr>
      </w:r>
      <w:r>
        <w:rPr>
          <w:rFonts w:ascii="Arial" w:hAnsi="Arial" w:cs="Arial"/>
          <w:b/>
        </w:rPr>
      </w:r>
    </w:p>
    <w:p>
      <w:pPr>
        <w:pStyle w:val="828"/>
        <w:pBdr/>
        <w:spacing/>
        <w:ind w:right="-5"/>
        <w:jc w:val="both"/>
        <w:rPr>
          <w:rFonts w:ascii="Arial" w:hAnsi="Arial" w:cs="Arial"/>
        </w:rPr>
      </w:pPr>
      <w:r>
        <w:rPr>
          <w:rFonts w:ascii="Arial" w:hAnsi="Arial" w:cs="Arial"/>
          <w:b/>
        </w:rPr>
        <w:t xml:space="preserve">24.1.</w:t>
      </w:r>
      <w:r>
        <w:rPr>
          <w:rFonts w:ascii="Arial" w:hAnsi="Arial" w:cs="Arial"/>
        </w:rPr>
        <w:t xml:space="preserve"> Os casos omissos serão decididos pelo contratante, segundo as disposições contidas na Lei nº 14.133/2021, no Decreto 11.685/2023 e demais normas estaduai</w:t>
      </w:r>
      <w:r>
        <w:rPr>
          <w:rFonts w:ascii="Arial" w:hAnsi="Arial" w:cs="Arial"/>
        </w:rPr>
        <w:t xml:space="preserve">s de licitações e contratos administrativos e, supletivamente as disposições contidas na Lei nº 8.078/1990 – Código de Defesa do Consumidor, normas e Princípios Gerais dos Contratos e disposições do direito privado.</w:t>
      </w:r>
      <w:r>
        <w:rPr>
          <w:rFonts w:ascii="Arial" w:hAnsi="Arial" w:cs="Arial"/>
        </w:rPr>
      </w:r>
      <w:r>
        <w:rPr>
          <w:rFonts w:ascii="Arial" w:hAnsi="Arial" w:cs="Arial"/>
        </w:rPr>
      </w:r>
    </w:p>
    <w:p>
      <w:pPr>
        <w:pStyle w:val="828"/>
        <w:pBdr/>
        <w:spacing/>
        <w:ind w:right="-5"/>
        <w:jc w:val="both"/>
        <w:rPr>
          <w:rFonts w:ascii="Arial" w:hAnsi="Arial" w:cs="Arial"/>
          <w:b/>
          <w:u w:val="single"/>
        </w:rPr>
      </w:pPr>
      <w:r>
        <w:rPr>
          <w:rFonts w:ascii="Arial" w:hAnsi="Arial" w:cs="Arial"/>
          <w:b/>
          <w:u w:val="single"/>
        </w:rPr>
      </w:r>
      <w:r>
        <w:rPr>
          <w:rFonts w:ascii="Arial" w:hAnsi="Arial" w:cs="Arial"/>
          <w:b/>
          <w:u w:val="single"/>
        </w:rPr>
      </w:r>
    </w:p>
    <w:p>
      <w:pPr>
        <w:pStyle w:val="828"/>
        <w:pBdr/>
        <w:spacing/>
        <w:ind w:right="-5"/>
        <w:jc w:val="both"/>
        <w:rPr>
          <w:rFonts w:ascii="Arial" w:hAnsi="Arial" w:cs="Arial"/>
          <w:b/>
        </w:rPr>
      </w:pPr>
      <w:r>
        <w:rPr>
          <w:rFonts w:ascii="Arial" w:hAnsi="Arial" w:cs="Arial"/>
          <w:b/>
        </w:rPr>
        <w:t xml:space="preserve">CLÁUSULA VIGÉSIMA QUINTA - DO FORO:</w:t>
      </w:r>
      <w:r>
        <w:rPr>
          <w:rFonts w:ascii="Arial" w:hAnsi="Arial" w:cs="Arial"/>
          <w:b/>
        </w:rPr>
      </w:r>
    </w:p>
    <w:p>
      <w:pPr>
        <w:pStyle w:val="828"/>
        <w:pBdr/>
        <w:spacing/>
        <w:ind w:right="-5"/>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25.1.</w:t>
      </w:r>
      <w:r>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r>
        <w:rPr>
          <w:rFonts w:ascii="Arial" w:hAnsi="Arial" w:cs="Arial"/>
        </w:rPr>
      </w:r>
    </w:p>
    <w:p>
      <w:pPr>
        <w:pStyle w:val="828"/>
        <w:pBdr/>
        <w:spacing/>
        <w:ind/>
        <w:jc w:val="both"/>
        <w:rPr>
          <w:rFonts w:ascii="Arial" w:hAnsi="Arial" w:cs="Arial"/>
          <w:b/>
          <w:u w:val="single"/>
        </w:rPr>
      </w:pPr>
      <w:r>
        <w:rPr>
          <w:rFonts w:ascii="Arial" w:hAnsi="Arial" w:cs="Arial"/>
          <w:b/>
          <w:u w:val="single"/>
        </w:rPr>
      </w:r>
      <w:r>
        <w:rPr>
          <w:rFonts w:ascii="Arial" w:hAnsi="Arial" w:cs="Arial"/>
          <w:b/>
          <w:u w:val="single"/>
        </w:rPr>
      </w:r>
    </w:p>
    <w:p>
      <w:pPr>
        <w:pStyle w:val="828"/>
        <w:pBdr/>
        <w:spacing/>
        <w:ind w:firstLine="708"/>
        <w:jc w:val="both"/>
        <w:rPr>
          <w:rFonts w:ascii="Arial" w:hAnsi="Arial" w:cs="Arial"/>
        </w:rPr>
      </w:pPr>
      <w:r>
        <w:rPr>
          <w:rFonts w:ascii="Arial" w:hAnsi="Arial" w:cs="Arial"/>
        </w:rPr>
        <w:t xml:space="preserve">E, para firmeza e validade do que foi pactuado, lavrou-se o presente </w:t>
      </w:r>
      <w:r>
        <w:rPr>
          <w:rFonts w:ascii="Arial" w:hAnsi="Arial" w:cs="Arial"/>
          <w:b/>
          <w:bCs/>
        </w:rPr>
        <w:t xml:space="preserve">CONTRATO </w:t>
      </w:r>
      <w:r>
        <w:rPr>
          <w:rFonts w:ascii="Arial" w:hAnsi="Arial" w:cs="Arial"/>
        </w:rPr>
        <w:t xml:space="preserve">em 04 (quatro) vias de igual teor e forma, para que surtam um só efeito, as quais, depois de lidas, são assinadas pelos representantes do </w:t>
      </w:r>
      <w:r>
        <w:rPr>
          <w:rFonts w:ascii="Arial" w:hAnsi="Arial" w:cs="Arial"/>
          <w:b/>
          <w:bCs/>
        </w:rPr>
        <w:t xml:space="preserve">CONTRATANTE </w:t>
      </w:r>
      <w:r>
        <w:rPr>
          <w:rFonts w:ascii="Arial" w:hAnsi="Arial" w:cs="Arial"/>
        </w:rPr>
        <w:t xml:space="preserve">e da </w:t>
      </w:r>
      <w:r>
        <w:rPr>
          <w:rFonts w:ascii="Arial" w:hAnsi="Arial" w:cs="Arial"/>
          <w:b/>
          <w:bCs/>
        </w:rPr>
        <w:t xml:space="preserve">CONTRATADA</w:t>
      </w:r>
      <w:r>
        <w:rPr>
          <w:rFonts w:ascii="Arial" w:hAnsi="Arial" w:cs="Arial"/>
        </w:rPr>
        <w:t xml:space="preserve">, e pelas testemunhas abaixo relacionadas.</w:t>
      </w:r>
      <w:r>
        <w:rPr>
          <w:rFonts w:ascii="Arial" w:hAnsi="Arial" w:cs="Arial"/>
        </w:rPr>
      </w:r>
    </w:p>
    <w:p>
      <w:pPr>
        <w:pStyle w:val="828"/>
        <w:pBdr/>
        <w:spacing/>
        <w:ind w:right="-20"/>
        <w:jc w:val="right"/>
        <w:rPr>
          <w:rFonts w:ascii="Arial" w:hAnsi="Arial" w:cs="Arial"/>
          <w:spacing w:val="1"/>
        </w:rPr>
      </w:pPr>
      <w:r>
        <w:rPr>
          <w:rFonts w:ascii="Arial" w:hAnsi="Arial" w:cs="Arial"/>
          <w:spacing w:val="1"/>
        </w:rPr>
      </w:r>
      <w:r>
        <w:rPr>
          <w:rFonts w:ascii="Arial" w:hAnsi="Arial" w:cs="Arial"/>
          <w:spacing w:val="1"/>
        </w:rPr>
      </w:r>
    </w:p>
    <w:p>
      <w:pPr>
        <w:pStyle w:val="828"/>
        <w:pBdr/>
        <w:spacing/>
        <w:ind w:right="-20"/>
        <w:jc w:val="right"/>
        <w:rPr>
          <w:rFonts w:ascii="Arial" w:hAnsi="Arial" w:cs="Arial"/>
        </w:rPr>
      </w:pPr>
      <w:r>
        <w:rPr>
          <w:rFonts w:ascii="Arial" w:hAnsi="Arial" w:cs="Arial"/>
          <w:spacing w:val="1"/>
        </w:rPr>
        <w:t xml:space="preserve">Rondonópolis</w:t>
      </w:r>
      <w:r>
        <w:rPr>
          <w:rFonts w:ascii="Arial" w:hAnsi="Arial" w:cs="Arial"/>
        </w:rPr>
        <w:t xml:space="preserve">-</w:t>
      </w:r>
      <w:r>
        <w:rPr>
          <w:rFonts w:ascii="Arial" w:hAnsi="Arial" w:cs="Arial"/>
          <w:spacing w:val="2"/>
        </w:rPr>
        <w:t xml:space="preserve">MT.</w:t>
      </w:r>
      <w:r>
        <w:rPr>
          <w:rFonts w:ascii="Arial" w:hAnsi="Arial" w:cs="Arial"/>
        </w:rPr>
        <w:t xml:space="preserve">,</w:t>
      </w:r>
      <w:r>
        <w:rPr>
          <w:rFonts w:ascii="Arial" w:hAnsi="Arial" w:cs="Arial"/>
          <w:spacing w:val="10"/>
        </w:rPr>
        <w:t xml:space="preserve"> ___ de ____________ </w:t>
      </w:r>
      <w:r>
        <w:rPr>
          <w:rFonts w:ascii="Arial" w:hAnsi="Arial" w:cs="Arial"/>
          <w:spacing w:val="2"/>
        </w:rPr>
        <w:t xml:space="preserve">d</w:t>
      </w:r>
      <w:r>
        <w:rPr>
          <w:rFonts w:ascii="Arial" w:hAnsi="Arial" w:cs="Arial"/>
        </w:rPr>
        <w:t xml:space="preserve">e</w:t>
      </w:r>
      <w:r>
        <w:rPr>
          <w:rFonts w:ascii="Arial" w:hAnsi="Arial" w:cs="Arial"/>
          <w:spacing w:val="10"/>
        </w:rPr>
        <w:t xml:space="preserve"> </w:t>
      </w:r>
      <w:r>
        <w:rPr>
          <w:rFonts w:ascii="Arial" w:hAnsi="Arial" w:cs="Arial"/>
        </w:rPr>
        <w:t xml:space="preserve">202</w:t>
      </w:r>
      <w:r>
        <w:rPr>
          <w:rFonts w:ascii="Arial" w:hAnsi="Arial" w:cs="Arial"/>
        </w:rPr>
        <w:t xml:space="preserve">6</w:t>
      </w:r>
      <w:r>
        <w:rPr>
          <w:rFonts w:ascii="Arial" w:hAnsi="Arial" w:cs="Arial"/>
        </w:rPr>
        <w:t xml:space="preserve">.</w:t>
      </w:r>
      <w:r>
        <w:rPr>
          <w:rFonts w:ascii="Arial" w:hAnsi="Arial" w:cs="Arial"/>
        </w:rPr>
      </w:r>
    </w:p>
    <w:tbl>
      <w:tblPr>
        <w:tblInd w:w="0" w:type="dxa"/>
        <w:tblW w:w="0" w:type="auto"/>
        <w:tblCellMar>
          <w:left w:w="70" w:type="dxa"/>
          <w:top w:w="0" w:type="dxa"/>
          <w:right w:w="70" w:type="dxa"/>
          <w:bottom w:w="0" w:type="dxa"/>
        </w:tblCellMar>
        <w:tblBorders/>
        <w:tblLayout w:type="fixed"/>
        <w:tblLook w:val="04A0" w:firstRow="1" w:lastRow="0" w:firstColumn="1" w:lastColumn="0" w:noHBand="0" w:noVBand="1"/>
      </w:tblPr>
      <w:tblGrid>
        <w:gridCol w:w="5599"/>
        <w:gridCol w:w="51"/>
        <w:gridCol w:w="4768"/>
      </w:tblGrid>
      <w:tr>
        <w:trPr/>
        <w:tc>
          <w:tcPr>
            <w:gridSpan w:val="2"/>
            <w:tcBorders>
              <w:top w:val="none" w:color="auto" w:sz="0" w:space="0"/>
              <w:left w:val="none" w:color="auto" w:sz="0" w:space="0"/>
              <w:bottom w:val="none" w:color="auto" w:sz="0" w:space="0"/>
              <w:right w:val="none" w:color="auto" w:sz="0" w:space="0"/>
            </w:tcBorders>
            <w:tcW w:w="5650" w:type="dxa"/>
            <w:vAlign w:val="top"/>
            <w:textDirection w:val="lrTb"/>
            <w:noWrap w:val="false"/>
          </w:tcPr>
          <w:p>
            <w:pPr>
              <w:pStyle w:val="980"/>
              <w:pBdr/>
              <w:spacing/>
              <w:ind/>
              <w:jc w:val="center"/>
              <w:rPr>
                <w:rFonts w:ascii="Arial" w:hAnsi="Arial" w:cs="Arial"/>
              </w:rPr>
            </w:pPr>
            <w:r>
              <w:rPr>
                <w:rFonts w:ascii="Arial" w:hAnsi="Arial" w:cs="Arial"/>
              </w:rPr>
              <w:t xml:space="preserve">O MUNICÍPIO DE RONDONÓPOLIS-MT.</w:t>
            </w:r>
            <w:r>
              <w:rPr>
                <w:rFonts w:ascii="Arial" w:hAnsi="Arial" w:cs="Arial"/>
              </w:rPr>
            </w:r>
          </w:p>
          <w:p>
            <w:pPr>
              <w:pStyle w:val="828"/>
              <w:pBdr/>
              <w:spacing/>
              <w:ind/>
              <w:jc w:val="center"/>
              <w:rPr>
                <w:rFonts w:ascii="Arial" w:hAnsi="Arial" w:cs="Arial"/>
              </w:rPr>
            </w:pPr>
            <w:r>
              <w:rPr>
                <w:rFonts w:ascii="Arial" w:hAnsi="Arial" w:cs="Arial"/>
              </w:rPr>
              <w:t xml:space="preserve">CONTRATANTE</w:t>
            </w:r>
            <w:r>
              <w:rPr>
                <w:rFonts w:ascii="Arial" w:hAnsi="Arial" w:cs="Arial"/>
              </w:rPr>
            </w:r>
          </w:p>
        </w:tc>
        <w:tc>
          <w:tcPr>
            <w:tcBorders>
              <w:top w:val="none" w:color="auto" w:sz="0" w:space="0"/>
              <w:left w:val="none" w:color="auto" w:sz="0" w:space="0"/>
              <w:bottom w:val="none" w:color="auto" w:sz="0" w:space="0"/>
              <w:right w:val="none" w:color="auto" w:sz="0" w:space="0"/>
            </w:tcBorders>
            <w:tcW w:w="4768" w:type="dxa"/>
            <w:vAlign w:val="top"/>
            <w:textDirection w:val="lrTb"/>
            <w:noWrap w:val="false"/>
          </w:tcPr>
          <w:p>
            <w:pPr>
              <w:pStyle w:val="980"/>
              <w:pBdr/>
              <w:spacing/>
              <w:ind/>
              <w:jc w:val="center"/>
              <w:rPr>
                <w:rFonts w:ascii="Arial" w:hAnsi="Arial" w:cs="Arial"/>
              </w:rPr>
            </w:pPr>
            <w:r>
              <w:rPr>
                <w:rFonts w:ascii="Arial" w:hAnsi="Arial" w:cs="Arial"/>
              </w:rPr>
            </w:r>
            <w:r>
              <w:rPr>
                <w:rFonts w:ascii="Arial" w:hAnsi="Arial" w:cs="Arial"/>
              </w:rPr>
            </w:r>
          </w:p>
          <w:p>
            <w:pPr>
              <w:pStyle w:val="980"/>
              <w:pBdr/>
              <w:spacing/>
              <w:ind/>
              <w:jc w:val="center"/>
              <w:rPr>
                <w:rFonts w:ascii="Arial" w:hAnsi="Arial" w:cs="Arial"/>
              </w:rPr>
            </w:pPr>
            <w:r>
              <w:rPr>
                <w:rFonts w:ascii="Arial" w:hAnsi="Arial" w:cs="Arial"/>
              </w:rPr>
              <w:t xml:space="preserve">CONTRATADA</w:t>
            </w:r>
            <w:r>
              <w:rPr>
                <w:rFonts w:ascii="Arial" w:hAnsi="Arial" w:cs="Arial"/>
              </w:rPr>
            </w:r>
          </w:p>
          <w:p>
            <w:pPr>
              <w:pStyle w:val="828"/>
              <w:pBdr/>
              <w:spacing/>
              <w:ind/>
              <w:jc w:val="center"/>
              <w:rPr>
                <w:rFonts w:ascii="Arial" w:hAnsi="Arial" w:cs="Arial"/>
              </w:rPr>
            </w:pPr>
            <w:r>
              <w:rPr>
                <w:rFonts w:ascii="Arial" w:hAnsi="Arial" w:cs="Arial"/>
              </w:rPr>
            </w:r>
            <w:r>
              <w:rPr>
                <w:rFonts w:ascii="Arial" w:hAnsi="Arial" w:cs="Arial"/>
              </w:rPr>
            </w:r>
          </w:p>
        </w:tc>
      </w:tr>
      <w:tr>
        <w:trPr/>
        <w:tc>
          <w:tcPr>
            <w:tcBorders>
              <w:top w:val="none" w:color="auto" w:sz="0" w:space="0"/>
              <w:left w:val="none" w:color="auto" w:sz="0" w:space="0"/>
              <w:bottom w:val="none" w:color="auto" w:sz="0" w:space="0"/>
              <w:right w:val="none" w:color="auto" w:sz="0" w:space="0"/>
            </w:tcBorders>
            <w:tcW w:w="5599" w:type="dxa"/>
            <w:vAlign w:val="top"/>
            <w:textDirection w:val="lrTb"/>
            <w:noWrap w:val="false"/>
          </w:tcPr>
          <w:p>
            <w:pPr>
              <w:pStyle w:val="828"/>
              <w:pBdr/>
              <w:spacing/>
              <w:ind/>
              <w:jc w:val="center"/>
              <w:rPr>
                <w:rFonts w:ascii="Arial" w:hAnsi="Arial" w:cs="Arial"/>
              </w:rPr>
            </w:pPr>
            <w:r>
              <w:rPr>
                <w:rFonts w:ascii="Arial" w:hAnsi="Arial" w:cs="Arial"/>
              </w:rPr>
              <w:t xml:space="preserve">TESTEMUNHAS:__________________________</w:t>
            </w:r>
            <w:r>
              <w:rPr>
                <w:rFonts w:ascii="Arial" w:hAnsi="Arial" w:cs="Arial"/>
              </w:rPr>
            </w:r>
          </w:p>
          <w:p>
            <w:pPr>
              <w:pStyle w:val="828"/>
              <w:pBdr/>
              <w:spacing/>
              <w:ind/>
              <w:jc w:val="center"/>
              <w:rPr>
                <w:rFonts w:ascii="Arial" w:hAnsi="Arial" w:cs="Arial"/>
              </w:rPr>
            </w:pPr>
            <w:r>
              <w:rPr>
                <w:rFonts w:ascii="Arial" w:hAnsi="Arial" w:eastAsia="Arial" w:cs="Arial"/>
              </w:rPr>
              <w:t xml:space="preserve">                       </w:t>
            </w:r>
            <w:r>
              <w:rPr>
                <w:rFonts w:ascii="Arial" w:hAnsi="Arial" w:cs="Arial"/>
              </w:rPr>
              <w:t xml:space="preserve">RG N.º</w:t>
            </w:r>
            <w:r>
              <w:rPr>
                <w:rFonts w:ascii="Arial" w:hAnsi="Arial" w:cs="Arial"/>
              </w:rPr>
            </w:r>
          </w:p>
        </w:tc>
        <w:tc>
          <w:tcPr>
            <w:gridSpan w:val="2"/>
            <w:tcBorders>
              <w:top w:val="none" w:color="auto" w:sz="0" w:space="0"/>
              <w:left w:val="none" w:color="auto" w:sz="0" w:space="0"/>
              <w:bottom w:val="none" w:color="auto" w:sz="0" w:space="0"/>
              <w:right w:val="none" w:color="auto" w:sz="0" w:space="0"/>
            </w:tcBorders>
            <w:tcW w:w="4819" w:type="dxa"/>
            <w:vAlign w:val="top"/>
            <w:textDirection w:val="lrTb"/>
            <w:noWrap w:val="false"/>
          </w:tcPr>
          <w:p>
            <w:pPr>
              <w:pStyle w:val="980"/>
              <w:pBdr/>
              <w:spacing/>
              <w:ind/>
              <w:jc w:val="center"/>
              <w:rPr>
                <w:rFonts w:ascii="Arial" w:hAnsi="Arial" w:cs="Arial"/>
              </w:rPr>
            </w:pPr>
            <w:r>
              <w:rPr>
                <w:rFonts w:ascii="Arial" w:hAnsi="Arial" w:cs="Arial"/>
              </w:rPr>
              <w:t xml:space="preserve">______________________________</w:t>
            </w:r>
            <w:r>
              <w:rPr>
                <w:rFonts w:ascii="Arial" w:hAnsi="Arial" w:cs="Arial"/>
              </w:rPr>
            </w:r>
          </w:p>
          <w:p>
            <w:pPr>
              <w:pStyle w:val="980"/>
              <w:pBdr/>
              <w:spacing/>
              <w:ind/>
              <w:jc w:val="center"/>
              <w:rPr>
                <w:rFonts w:ascii="Arial" w:hAnsi="Arial" w:cs="Arial"/>
              </w:rPr>
            </w:pPr>
            <w:r>
              <w:rPr>
                <w:rFonts w:ascii="Arial" w:hAnsi="Arial" w:cs="Arial"/>
              </w:rPr>
            </w:r>
            <w:r>
              <w:rPr>
                <w:rFonts w:ascii="Arial" w:hAnsi="Arial" w:cs="Arial"/>
              </w:rPr>
            </w:r>
          </w:p>
          <w:p>
            <w:pPr>
              <w:pStyle w:val="980"/>
              <w:pBdr/>
              <w:spacing/>
              <w:ind/>
              <w:jc w:val="center"/>
              <w:rPr>
                <w:rFonts w:ascii="Arial" w:hAnsi="Arial" w:cs="Arial"/>
              </w:rPr>
            </w:pPr>
            <w:r>
              <w:rPr>
                <w:rFonts w:ascii="Arial" w:hAnsi="Arial" w:cs="Arial"/>
              </w:rPr>
              <w:t xml:space="preserve">RG N.º</w:t>
            </w:r>
            <w:r>
              <w:rPr>
                <w:rFonts w:ascii="Arial" w:hAnsi="Arial" w:cs="Arial"/>
              </w:rPr>
            </w:r>
          </w:p>
        </w:tc>
      </w:tr>
    </w:tbl>
    <w:p>
      <w:pPr>
        <w:pStyle w:val="828"/>
        <w:pBdr/>
        <w:spacing/>
        <w:ind/>
        <w:rPr>
          <w:rFonts w:ascii="Arial" w:hAnsi="Arial" w:cs="Arial"/>
        </w:rPr>
      </w:pPr>
      <w:r>
        <w:rPr>
          <w:rFonts w:ascii="Arial" w:hAnsi="Arial" w:eastAsia="Arial" w:cs="Arial"/>
        </w:rPr>
        <w:t xml:space="preserve">          </w:t>
      </w:r>
      <w:r>
        <w:rPr>
          <w:rFonts w:ascii="Arial" w:hAnsi="Arial" w:eastAsia="Arial" w:cs="Arial"/>
        </w:rPr>
        <w:t xml:space="preserve">                                           </w:t>
      </w:r>
      <w:r>
        <w:rPr>
          <w:rFonts w:ascii="Arial" w:hAnsi="Arial" w:cs="Arial"/>
        </w:rPr>
      </w:r>
      <w:r>
        <w:rPr>
          <w:rFonts w:ascii="Arial" w:hAnsi="Arial" w:cs="Arial"/>
        </w:rPr>
      </w:r>
    </w:p>
    <w:p>
      <w:pPr>
        <w:pStyle w:val="828"/>
        <w:pBdr/>
        <w:spacing/>
        <w:ind/>
        <w:rPr>
          <w:rFonts w:ascii="Arial" w:hAnsi="Arial" w:cs="Arial"/>
        </w:rPr>
      </w:pPr>
      <w:r>
        <w:rPr>
          <w:rFonts w:ascii="Arial" w:hAnsi="Arial" w:eastAsia="Arial" w:cs="Arial"/>
        </w:rPr>
        <w:t xml:space="preserve">                                                    </w:t>
      </w:r>
      <w:r>
        <w:rPr>
          <w:rFonts w:ascii="Arial" w:hAnsi="Arial" w:cs="Arial"/>
        </w:rPr>
        <w:t xml:space="preserve">DE ACORDO:________________________________</w:t>
      </w:r>
      <w:r>
        <w:rPr>
          <w:rFonts w:ascii="Arial" w:hAnsi="Arial" w:cs="Arial"/>
        </w:rPr>
      </w:r>
    </w:p>
    <w:p>
      <w:pPr>
        <w:pStyle w:val="828"/>
        <w:pBdr/>
        <w:tabs>
          <w:tab w:val="right" w:leader="none" w:pos="9072"/>
        </w:tabs>
        <w:spacing/>
        <w:ind/>
        <w:jc w:val="center"/>
        <w:rPr>
          <w:rFonts w:ascii="Arial" w:hAnsi="Arial" w:cs="Arial"/>
        </w:rPr>
      </w:pPr>
      <w:r>
        <w:rPr>
          <w:rFonts w:ascii="Arial" w:hAnsi="Arial" w:eastAsia="Arial" w:cs="Arial"/>
        </w:rPr>
        <w:t xml:space="preserve">                       </w:t>
      </w:r>
      <w:r>
        <w:rPr>
          <w:rFonts w:ascii="Arial" w:hAnsi="Arial" w:cs="Arial"/>
        </w:rPr>
        <w:t xml:space="preserve">ASSESSORIA JURÍDICA</w:t>
      </w:r>
      <w:r>
        <w:rPr>
          <w:rFonts w:ascii="Arial" w:hAnsi="Arial" w:cs="Arial"/>
        </w:rPr>
      </w:r>
    </w:p>
    <w:p>
      <w:pPr>
        <w:pStyle w:val="828"/>
        <w:pBdr/>
        <w:tabs>
          <w:tab w:val="right" w:leader="none" w:pos="9072"/>
        </w:tabs>
        <w:spacing/>
        <w:ind/>
        <w:jc w:val="center"/>
        <w:rPr>
          <w:rFonts w:ascii="Arial" w:hAnsi="Arial" w:cs="Arial"/>
        </w:rPr>
      </w:pPr>
      <w:r>
        <w:rPr>
          <w:rFonts w:ascii="Arial" w:hAnsi="Arial" w:cs="Arial"/>
        </w:rPr>
      </w:r>
      <w:r>
        <w:rPr>
          <w:rFonts w:ascii="Arial" w:hAnsi="Arial" w:cs="Arial"/>
        </w:rPr>
      </w:r>
    </w:p>
    <w:p>
      <w:pPr>
        <w:pStyle w:val="828"/>
        <w:pBdr/>
        <w:tabs>
          <w:tab w:val="right" w:leader="none" w:pos="9072"/>
        </w:tabs>
        <w:spacing/>
        <w:ind/>
        <w:jc w:val="center"/>
        <w:rPr>
          <w:rFonts w:ascii="Arial" w:hAnsi="Arial" w:cs="Arial"/>
        </w:rPr>
      </w:pPr>
      <w:r>
        <w:rPr>
          <w:rFonts w:ascii="Arial" w:hAnsi="Arial" w:cs="Arial"/>
        </w:rPr>
      </w:r>
      <w:r>
        <w:rPr>
          <w:rFonts w:ascii="Arial" w:hAnsi="Arial" w:cs="Arial"/>
        </w:rPr>
      </w:r>
    </w:p>
    <w:p>
      <w:pPr>
        <w:pStyle w:val="828"/>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rPr>
      </w:pPr>
      <w:r>
        <w:rPr>
          <w:rFonts w:ascii="Arial" w:hAnsi="Arial" w:cs="Arial"/>
          <w:b/>
        </w:rPr>
        <w:t xml:space="preserve">PAPEL TIMBRADO DA EMPRESA LICITANTE</w:t>
      </w:r>
      <w:r>
        <w:rPr>
          <w:rFonts w:ascii="Arial" w:hAnsi="Arial" w:cs="Arial"/>
        </w:rPr>
      </w:r>
      <w:r>
        <w:rPr>
          <w:rFonts w:ascii="Arial" w:hAnsi="Arial" w:cs="Arial"/>
        </w:rPr>
      </w:r>
    </w:p>
    <w:p>
      <w:pPr>
        <w:pStyle w:val="828"/>
        <w:pBdr/>
        <w:spacing/>
        <w:ind/>
        <w:jc w:val="both"/>
        <w:rPr>
          <w:rFonts w:ascii="Arial" w:hAnsi="Arial" w:cs="Arial"/>
          <w:b/>
        </w:rPr>
      </w:pPr>
      <w:r>
        <w:rPr>
          <w:rFonts w:ascii="Arial" w:hAnsi="Arial" w:cs="Arial"/>
          <w:b/>
        </w:rPr>
      </w:r>
      <w:r>
        <w:rPr>
          <w:rFonts w:ascii="Arial" w:hAnsi="Arial" w:cs="Arial"/>
          <w:b/>
        </w:rPr>
      </w:r>
    </w:p>
    <w:p>
      <w:pPr>
        <w:pStyle w:val="829"/>
        <w:pBdr/>
        <w:spacing w:after="0" w:before="0"/>
        <w:ind/>
        <w:rPr>
          <w:sz w:val="20"/>
          <w:szCs w:val="20"/>
          <w:lang w:val="pt-BR"/>
        </w:rPr>
      </w:pPr>
      <w:r>
        <w:rPr>
          <w:rFonts w:eastAsia="SimSun"/>
          <w:sz w:val="20"/>
          <w:szCs w:val="20"/>
          <w:lang w:val="pt-BR"/>
        </w:rPr>
        <w:t xml:space="preserve">ANEXO </w:t>
      </w:r>
      <w:r>
        <w:rPr>
          <w:rFonts w:eastAsia="SimSun"/>
          <w:sz w:val="20"/>
          <w:szCs w:val="20"/>
          <w:lang w:val="pt-BR"/>
        </w:rPr>
        <w:t xml:space="preserve">I</w:t>
      </w:r>
      <w:r>
        <w:rPr>
          <w:rFonts w:eastAsia="SimSun"/>
          <w:sz w:val="20"/>
          <w:szCs w:val="20"/>
          <w:lang w:val="pt-BR"/>
        </w:rPr>
        <w:t xml:space="preserve">V</w:t>
      </w:r>
      <w:r>
        <w:rPr>
          <w:rFonts w:eastAsia="SimSun"/>
          <w:sz w:val="20"/>
          <w:szCs w:val="20"/>
          <w:lang w:val="pt-BR"/>
        </w:rPr>
        <w:t xml:space="preserve">: </w:t>
      </w:r>
      <w:r>
        <w:rPr>
          <w:bCs w:val="0"/>
          <w:sz w:val="20"/>
          <w:szCs w:val="20"/>
          <w:lang w:val="pt-BR"/>
        </w:rPr>
        <w:t xml:space="preserve">MODELO DE PROPOSTA COMERCIAL.</w:t>
      </w:r>
      <w:r>
        <w:rPr>
          <w:sz w:val="20"/>
          <w:szCs w:val="20"/>
          <w:lang w:val="pt-BR"/>
        </w:rPr>
      </w:r>
      <w:r>
        <w:rPr>
          <w:sz w:val="20"/>
          <w:szCs w:val="20"/>
          <w:lang w:val="pt-BR"/>
        </w:rPr>
      </w:r>
    </w:p>
    <w:p>
      <w:pPr>
        <w:pStyle w:val="828"/>
        <w:pBdr/>
        <w:spacing/>
        <w:ind/>
        <w:jc w:val="both"/>
        <w:rPr>
          <w:rFonts w:ascii="Arial" w:hAnsi="Arial" w:eastAsia="SimSun" w:cs="Arial"/>
          <w:b/>
        </w:rPr>
      </w:pPr>
      <w:r>
        <w:rPr>
          <w:rFonts w:ascii="Arial" w:hAnsi="Arial" w:eastAsia="SimSun" w:cs="Arial"/>
          <w:b/>
        </w:rPr>
      </w:r>
      <w:r>
        <w:rPr>
          <w:rFonts w:ascii="Arial" w:hAnsi="Arial" w:eastAsia="SimSun" w:cs="Arial"/>
          <w:b/>
        </w:rPr>
      </w:r>
    </w:p>
    <w:tbl>
      <w:tblPr>
        <w:tblInd w:w="5"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3419"/>
        <w:gridCol w:w="826"/>
        <w:gridCol w:w="1623"/>
        <w:gridCol w:w="1164"/>
        <w:gridCol w:w="437"/>
        <w:gridCol w:w="2816"/>
      </w:tblGrid>
      <w:tr>
        <w:trPr>
          <w:trHeight w:val="255"/>
        </w:trPr>
        <w:tc>
          <w:tcPr>
            <w:gridSpan w:val="4"/>
            <w:tcBorders>
              <w:top w:val="single" w:color="000000" w:sz="4" w:space="0"/>
              <w:left w:val="single" w:color="000000" w:sz="4" w:space="0"/>
              <w:bottom w:val="single" w:color="000000" w:sz="4" w:space="0"/>
              <w:right w:val="single" w:color="000000" w:sz="4" w:space="0"/>
            </w:tcBorders>
            <w:tcW w:w="7032" w:type="dxa"/>
            <w:vAlign w:val="top"/>
            <w:textDirection w:val="lrTb"/>
            <w:noWrap w:val="false"/>
          </w:tcPr>
          <w:p>
            <w:pPr>
              <w:pStyle w:val="828"/>
              <w:pBdr/>
              <w:tabs>
                <w:tab w:val="left" w:leader="none" w:pos="2714"/>
                <w:tab w:val="left" w:leader="none" w:pos="10419"/>
              </w:tabs>
              <w:spacing/>
              <w:ind/>
              <w:rPr>
                <w:rFonts w:ascii="Arial" w:hAnsi="Arial" w:cs="Arial"/>
              </w:rPr>
            </w:pPr>
            <w:r>
              <w:rPr>
                <w:rFonts w:ascii="Arial" w:hAnsi="Arial" w:cs="Arial"/>
                <w:b/>
              </w:rPr>
              <w:t xml:space="preserve">Licitante Razão Social:</w:t>
            </w:r>
            <w:r>
              <w:rPr>
                <w:rFonts w:ascii="Arial" w:hAnsi="Arial" w:cs="Arial"/>
              </w:rPr>
            </w:r>
            <w:r>
              <w:rPr>
                <w:rFonts w:ascii="Arial" w:hAnsi="Arial" w:cs="Arial"/>
              </w:rPr>
            </w:r>
          </w:p>
        </w:tc>
        <w:tc>
          <w:tcPr>
            <w:gridSpan w:val="2"/>
            <w:tcBorders>
              <w:top w:val="single" w:color="000000" w:sz="4" w:space="0"/>
              <w:left w:val="single" w:color="000000" w:sz="4" w:space="0"/>
              <w:bottom w:val="single" w:color="000000" w:sz="4" w:space="0"/>
              <w:right w:val="single" w:color="000000" w:sz="4" w:space="0"/>
            </w:tcBorders>
            <w:tcW w:w="3253" w:type="dxa"/>
            <w:vAlign w:val="top"/>
            <w:textDirection w:val="lrTb"/>
            <w:noWrap w:val="false"/>
          </w:tcPr>
          <w:p>
            <w:pPr>
              <w:pStyle w:val="828"/>
              <w:pBdr/>
              <w:tabs>
                <w:tab w:val="left" w:leader="none" w:pos="2714"/>
                <w:tab w:val="left" w:leader="none" w:pos="10419"/>
              </w:tabs>
              <w:spacing/>
              <w:ind/>
              <w:rPr>
                <w:rFonts w:ascii="Arial" w:hAnsi="Arial" w:cs="Arial"/>
              </w:rPr>
            </w:pPr>
            <w:r>
              <w:rPr>
                <w:rFonts w:ascii="Arial" w:hAnsi="Arial" w:cs="Arial"/>
                <w:b/>
              </w:rPr>
              <w:t xml:space="preserve">CNPJ N.º:</w:t>
            </w:r>
            <w:r>
              <w:rPr>
                <w:rFonts w:ascii="Arial" w:hAnsi="Arial" w:cs="Arial"/>
              </w:rPr>
            </w:r>
            <w:r>
              <w:rPr>
                <w:rFonts w:ascii="Arial" w:hAnsi="Arial" w:cs="Arial"/>
              </w:rPr>
            </w:r>
          </w:p>
        </w:tc>
      </w:tr>
      <w:tr>
        <w:trPr>
          <w:trHeight w:val="255"/>
        </w:trPr>
        <w:tc>
          <w:tcPr>
            <w:tcBorders>
              <w:top w:val="single" w:color="000000" w:sz="4" w:space="0"/>
              <w:left w:val="single" w:color="000000" w:sz="4" w:space="0"/>
              <w:bottom w:val="single" w:color="000000" w:sz="4" w:space="0"/>
              <w:right w:val="single" w:color="000000" w:sz="4" w:space="0"/>
            </w:tcBorders>
            <w:tcW w:w="3419" w:type="dxa"/>
            <w:vAlign w:val="top"/>
            <w:textDirection w:val="lrTb"/>
            <w:noWrap w:val="false"/>
          </w:tcPr>
          <w:p>
            <w:pPr>
              <w:pStyle w:val="828"/>
              <w:pBdr/>
              <w:tabs>
                <w:tab w:val="left" w:leader="none" w:pos="2714"/>
                <w:tab w:val="left" w:leader="none" w:pos="10419"/>
              </w:tabs>
              <w:spacing/>
              <w:ind/>
              <w:rPr>
                <w:rFonts w:ascii="Arial" w:hAnsi="Arial" w:cs="Arial"/>
              </w:rPr>
            </w:pPr>
            <w:r>
              <w:rPr>
                <w:rFonts w:ascii="Arial" w:hAnsi="Arial" w:cs="Arial"/>
                <w:b/>
              </w:rPr>
              <w:t xml:space="preserve">Telefone fixo:</w:t>
            </w:r>
            <w:r>
              <w:rPr>
                <w:rFonts w:ascii="Arial" w:hAnsi="Arial" w:cs="Arial"/>
              </w:rPr>
            </w:r>
            <w:r>
              <w:rPr>
                <w:rFonts w:ascii="Arial" w:hAnsi="Arial" w:cs="Arial"/>
              </w:rPr>
            </w:r>
          </w:p>
        </w:tc>
        <w:tc>
          <w:tcPr>
            <w:gridSpan w:val="2"/>
            <w:tcBorders>
              <w:top w:val="single" w:color="000000" w:sz="4" w:space="0"/>
              <w:left w:val="single" w:color="000000" w:sz="4" w:space="0"/>
              <w:bottom w:val="single" w:color="000000" w:sz="4" w:space="0"/>
              <w:right w:val="single" w:color="000000" w:sz="4" w:space="0"/>
            </w:tcBorders>
            <w:tcW w:w="2449" w:type="dxa"/>
            <w:vAlign w:val="top"/>
            <w:textDirection w:val="lrTb"/>
            <w:noWrap w:val="false"/>
          </w:tcPr>
          <w:p>
            <w:pPr>
              <w:pStyle w:val="828"/>
              <w:pBdr/>
              <w:tabs>
                <w:tab w:val="left" w:leader="none" w:pos="2714"/>
                <w:tab w:val="left" w:leader="none" w:pos="10419"/>
              </w:tabs>
              <w:spacing/>
              <w:ind/>
              <w:rPr>
                <w:rFonts w:ascii="Arial" w:hAnsi="Arial" w:cs="Arial"/>
              </w:rPr>
            </w:pPr>
            <w:r>
              <w:rPr>
                <w:rFonts w:ascii="Arial" w:hAnsi="Arial" w:cs="Arial"/>
                <w:b/>
              </w:rPr>
              <w:t xml:space="preserve">Celular:</w:t>
            </w:r>
            <w:r>
              <w:rPr>
                <w:rFonts w:ascii="Arial" w:hAnsi="Arial" w:cs="Arial"/>
              </w:rPr>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4417" w:type="dxa"/>
            <w:vAlign w:val="top"/>
            <w:textDirection w:val="lrTb"/>
            <w:noWrap w:val="false"/>
          </w:tcPr>
          <w:p>
            <w:pPr>
              <w:pStyle w:val="828"/>
              <w:pBdr/>
              <w:tabs>
                <w:tab w:val="left" w:leader="none" w:pos="2714"/>
                <w:tab w:val="left" w:leader="none" w:pos="10419"/>
              </w:tabs>
              <w:spacing/>
              <w:ind/>
              <w:rPr>
                <w:rFonts w:ascii="Arial" w:hAnsi="Arial" w:cs="Arial"/>
              </w:rPr>
            </w:pPr>
            <w:r>
              <w:rPr>
                <w:rFonts w:ascii="Arial" w:hAnsi="Arial" w:cs="Arial"/>
                <w:b/>
              </w:rPr>
              <w:t xml:space="preserve">Endereço eletrônico e-mail:</w:t>
            </w:r>
            <w:r>
              <w:rPr>
                <w:rFonts w:ascii="Arial" w:hAnsi="Arial" w:cs="Arial"/>
              </w:rPr>
            </w:r>
            <w:r>
              <w:rPr>
                <w:rFonts w:ascii="Arial" w:hAnsi="Arial" w:cs="Arial"/>
              </w:rPr>
            </w:r>
          </w:p>
        </w:tc>
      </w:tr>
      <w:tr>
        <w:trPr>
          <w:trHeight w:val="255"/>
        </w:trPr>
        <w:tc>
          <w:tcPr>
            <w:gridSpan w:val="6"/>
            <w:tcBorders>
              <w:top w:val="single" w:color="000000" w:sz="4" w:space="0"/>
              <w:left w:val="single" w:color="000000" w:sz="4" w:space="0"/>
              <w:bottom w:val="single" w:color="000000" w:sz="4" w:space="0"/>
              <w:right w:val="single" w:color="000000" w:sz="4" w:space="0"/>
            </w:tcBorders>
            <w:tcW w:w="10285" w:type="dxa"/>
            <w:vAlign w:val="top"/>
            <w:textDirection w:val="lrTb"/>
            <w:noWrap w:val="false"/>
          </w:tcPr>
          <w:p>
            <w:pPr>
              <w:pStyle w:val="828"/>
              <w:pBdr/>
              <w:tabs>
                <w:tab w:val="left" w:leader="none" w:pos="2714"/>
                <w:tab w:val="left" w:leader="none" w:pos="10419"/>
              </w:tabs>
              <w:spacing/>
              <w:ind/>
              <w:rPr>
                <w:rFonts w:ascii="Arial" w:hAnsi="Arial" w:cs="Arial"/>
              </w:rPr>
            </w:pPr>
            <w:r>
              <w:rPr>
                <w:rFonts w:ascii="Arial" w:hAnsi="Arial" w:cs="Arial"/>
                <w:b/>
              </w:rPr>
              <w:t xml:space="preserve">Endereço Completo Rua, Nº, Bairro, Município, Estado, Cep:</w:t>
            </w:r>
            <w:r>
              <w:rPr>
                <w:rFonts w:ascii="Arial" w:hAnsi="Arial" w:cs="Arial"/>
              </w:rPr>
            </w:r>
            <w:r>
              <w:rPr>
                <w:rFonts w:ascii="Arial" w:hAnsi="Arial" w:cs="Arial"/>
              </w:rPr>
            </w:r>
          </w:p>
        </w:tc>
      </w:tr>
      <w:tr>
        <w:trPr>
          <w:trHeight w:val="272"/>
        </w:trPr>
        <w:tc>
          <w:tcPr>
            <w:gridSpan w:val="2"/>
            <w:tcBorders>
              <w:top w:val="single" w:color="000000" w:sz="4" w:space="0"/>
              <w:left w:val="single" w:color="000000" w:sz="4" w:space="0"/>
              <w:bottom w:val="single" w:color="000000" w:sz="4" w:space="0"/>
              <w:right w:val="single" w:color="000000" w:sz="4" w:space="0"/>
            </w:tcBorders>
            <w:tcW w:w="4245" w:type="dxa"/>
            <w:vAlign w:val="top"/>
            <w:textDirection w:val="lrTb"/>
            <w:noWrap w:val="false"/>
          </w:tcPr>
          <w:p>
            <w:pPr>
              <w:pStyle w:val="828"/>
              <w:pBdr/>
              <w:spacing/>
              <w:ind/>
              <w:jc w:val="both"/>
              <w:rPr>
                <w:rFonts w:ascii="Arial" w:hAnsi="Arial" w:cs="Arial"/>
              </w:rPr>
            </w:pPr>
            <w:r>
              <w:rPr>
                <w:rFonts w:ascii="Arial" w:hAnsi="Arial" w:cs="Arial"/>
                <w:b/>
              </w:rPr>
              <w:t xml:space="preserve">Conta Corrente nº:</w:t>
            </w:r>
            <w:r>
              <w:rPr>
                <w:rFonts w:ascii="Arial" w:hAnsi="Arial" w:cs="Arial"/>
              </w:rPr>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3224" w:type="dxa"/>
            <w:vAlign w:val="top"/>
            <w:textDirection w:val="lrTb"/>
            <w:noWrap w:val="false"/>
          </w:tcPr>
          <w:p>
            <w:pPr>
              <w:pStyle w:val="828"/>
              <w:pBdr/>
              <w:spacing/>
              <w:ind/>
              <w:jc w:val="both"/>
              <w:rPr>
                <w:rFonts w:ascii="Arial" w:hAnsi="Arial" w:cs="Arial"/>
              </w:rPr>
            </w:pPr>
            <w:r>
              <w:rPr>
                <w:rFonts w:ascii="Arial" w:hAnsi="Arial" w:cs="Arial"/>
                <w:b/>
              </w:rPr>
              <w:t xml:space="preserve">Agência:</w:t>
            </w: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816" w:type="dxa"/>
            <w:vAlign w:val="top"/>
            <w:textDirection w:val="lrTb"/>
            <w:noWrap w:val="false"/>
          </w:tcPr>
          <w:p>
            <w:pPr>
              <w:pStyle w:val="828"/>
              <w:pBdr/>
              <w:spacing/>
              <w:ind/>
              <w:jc w:val="both"/>
              <w:rPr>
                <w:rFonts w:ascii="Arial" w:hAnsi="Arial" w:cs="Arial"/>
              </w:rPr>
            </w:pPr>
            <w:r>
              <w:rPr>
                <w:rFonts w:ascii="Arial" w:hAnsi="Arial" w:cs="Arial"/>
                <w:b/>
              </w:rPr>
              <w:t xml:space="preserve">Banco:</w:t>
            </w:r>
            <w:r>
              <w:rPr>
                <w:rFonts w:ascii="Arial" w:hAnsi="Arial" w:cs="Arial"/>
              </w:rPr>
            </w:r>
            <w:r>
              <w:rPr>
                <w:rFonts w:ascii="Arial" w:hAnsi="Arial" w:cs="Arial"/>
              </w:rPr>
            </w:r>
          </w:p>
        </w:tc>
      </w:tr>
    </w:tbl>
    <w:p>
      <w:pPr>
        <w:pStyle w:val="828"/>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p>
      <w:pPr>
        <w:pStyle w:val="828"/>
        <w:pBdr/>
        <w:tabs>
          <w:tab w:val="left" w:leader="none" w:pos="2714"/>
          <w:tab w:val="left" w:leader="none" w:pos="10419"/>
        </w:tabs>
        <w:spacing/>
        <w:ind/>
        <w:rPr>
          <w:rFonts w:ascii="Arial" w:hAnsi="Arial" w:cs="Arial"/>
          <w:b/>
        </w:rPr>
      </w:pPr>
      <w:r>
        <w:rPr>
          <w:rFonts w:ascii="Arial" w:hAnsi="Arial" w:cs="Arial"/>
          <w:b/>
        </w:rPr>
        <w:t xml:space="preserve">Licitação Modalidade: Pregão Eletrônico N.º: </w:t>
      </w:r>
      <w:r>
        <w:rPr>
          <w:rFonts w:ascii="Arial" w:hAnsi="Arial" w:cs="Arial"/>
          <w:b/>
        </w:rPr>
        <w:t xml:space="preserve">22</w:t>
      </w:r>
      <w:r>
        <w:rPr>
          <w:rFonts w:ascii="Arial" w:hAnsi="Arial" w:cs="Arial"/>
          <w:b/>
        </w:rPr>
        <w:t xml:space="preserve">/2026</w:t>
      </w:r>
      <w:r>
        <w:rPr>
          <w:rFonts w:ascii="Arial" w:hAnsi="Arial" w:cs="Arial"/>
          <w:b/>
        </w:rPr>
        <w:t xml:space="preserve">. Tipo: MENOR</w:t>
      </w:r>
      <w:r>
        <w:rPr>
          <w:rFonts w:ascii="Arial" w:hAnsi="Arial" w:cs="Arial"/>
          <w:b/>
        </w:rPr>
        <w:t xml:space="preserve"> PREÇO POR </w:t>
      </w:r>
      <w:r>
        <w:rPr>
          <w:rFonts w:ascii="Arial" w:hAnsi="Arial" w:cs="Arial"/>
          <w:b/>
        </w:rPr>
        <w:t xml:space="preserve">ITEM</w:t>
      </w:r>
      <w:r>
        <w:rPr>
          <w:rFonts w:ascii="Arial" w:hAnsi="Arial" w:cs="Arial"/>
          <w:b/>
        </w:rPr>
      </w:r>
      <w:r>
        <w:rPr>
          <w:rFonts w:ascii="Arial" w:hAnsi="Arial" w:cs="Arial"/>
          <w:b/>
        </w:rPr>
      </w:r>
    </w:p>
    <w:p>
      <w:pPr>
        <w:pStyle w:val="828"/>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bCs/>
          <w:color w:val="000000"/>
        </w:rPr>
      </w:pPr>
      <w:r>
        <w:rPr>
          <w:rFonts w:ascii="Arial" w:hAnsi="Arial" w:cs="Arial"/>
          <w:b/>
        </w:rPr>
        <w:t xml:space="preserve">Objeto: </w:t>
      </w:r>
      <w:r>
        <w:rPr>
          <w:rFonts w:ascii="Arial" w:hAnsi="Arial" w:cs="Arial"/>
          <w:b/>
          <w:color w:val="000000"/>
        </w:rPr>
        <w:t xml:space="preserve">REGISTRO DE PREÇO PARA FUTURA E EVENTUAL AQUISIÇÃO DE EQUIPAMENTOS, FERRAMENTAS E MATERIAIS DIVERSOS PARA MARCENARIA, destinados à estruturação e ao funcionamento da marcenaria da Secretaria Municipal de Saúde, vinculada ao Setor d</w:t>
      </w:r>
      <w:r>
        <w:rPr>
          <w:rFonts w:ascii="Arial" w:hAnsi="Arial" w:cs="Arial"/>
          <w:b/>
          <w:color w:val="000000"/>
        </w:rPr>
        <w:t xml:space="preserve">e Engenharia, para atender às atividades de fabricação, montagem, manutenção, adaptação e reparo de móveis planejados e demais estruturas em madeira nas unidades da rede municipal de saúde, conforme condições, especificações, quantidades e exigências estab</w:t>
      </w:r>
      <w:r>
        <w:rPr>
          <w:rFonts w:ascii="Arial" w:hAnsi="Arial" w:cs="Arial"/>
          <w:b/>
          <w:color w:val="000000"/>
        </w:rPr>
        <w:t xml:space="preserve">elecidas neste edital e todos seus anexos.</w:t>
      </w:r>
      <w:r>
        <w:rPr>
          <w:rFonts w:ascii="Arial" w:hAnsi="Arial" w:cs="Arial"/>
          <w:bCs/>
          <w:color w:val="000000"/>
        </w:rPr>
      </w:r>
      <w:r>
        <w:rPr>
          <w:rFonts w:ascii="Arial" w:hAnsi="Arial" w:cs="Arial"/>
          <w:bCs/>
          <w:color w:val="000000"/>
        </w:rPr>
      </w:r>
    </w:p>
    <w:p>
      <w:pPr>
        <w:pStyle w:val="828"/>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tbl>
      <w:tblPr>
        <w:tblInd w:w="98" w:type="dxa"/>
        <w:tblW w:w="4954" w:type="pct"/>
        <w:tblCellMar>
          <w:left w:w="108" w:type="dxa"/>
          <w:top w:w="0" w:type="dxa"/>
          <w:right w:w="108" w:type="dxa"/>
          <w:bottom w:w="0" w:type="dxa"/>
        </w:tblCellMar>
        <w:tblBorders/>
        <w:tblLayout w:type="fixed"/>
        <w:tblLook w:val="04A0" w:firstRow="1" w:lastRow="0" w:firstColumn="1" w:lastColumn="0" w:noHBand="0" w:noVBand="1"/>
      </w:tblPr>
      <w:tblGrid>
        <w:gridCol w:w="590"/>
        <w:gridCol w:w="5584"/>
        <w:gridCol w:w="1147"/>
        <w:gridCol w:w="573"/>
        <w:gridCol w:w="1289"/>
        <w:gridCol w:w="1401"/>
      </w:tblGrid>
      <w:tr>
        <w:trPr>
          <w:trHeight w:val="480"/>
        </w:trPr>
        <w:tc>
          <w:tcPr>
            <w:shd w:val="clear" w:color="auto" w:fill="d9d9d9"/>
            <w:tcBorders>
              <w:top w:val="single" w:color="000000" w:sz="2" w:space="0"/>
              <w:left w:val="single" w:color="000000" w:sz="2" w:space="0"/>
              <w:bottom w:val="single" w:color="000000" w:sz="2" w:space="0"/>
              <w:right w:val="single" w:color="000000" w:sz="2" w:space="0"/>
            </w:tcBorders>
            <w:tcW w:w="583"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ITEM</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auto" w:sz="4" w:space="0"/>
              <w:right w:val="single" w:color="000000" w:sz="2" w:space="0"/>
            </w:tcBorders>
            <w:tcW w:w="5523"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DESCRIÇÃO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UND DE MEDIDA</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QT</w:t>
            </w:r>
            <w:r>
              <w:rPr>
                <w:rFonts w:eastAsia="Aptos Narrow"/>
                <w:b/>
                <w:bCs/>
                <w:color w:val="000000"/>
                <w:lang w:bidi="ar"/>
              </w:rPr>
              <w:t xml:space="preserve">D</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1275"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Valor unitário </w:t>
            </w:r>
            <w:r>
              <w:rPr>
                <w:rFonts w:eastAsia="Aptos Narrow"/>
                <w:b/>
                <w:bCs/>
                <w:color w:val="000000"/>
              </w:rPr>
            </w:r>
            <w:r>
              <w:rPr>
                <w:rFonts w:eastAsia="Aptos Narrow"/>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1386" w:type="dxa"/>
            <w:vAlign w:val="center"/>
            <w:textDirection w:val="lrTb"/>
            <w:noWrap w:val="false"/>
          </w:tcPr>
          <w:p>
            <w:pPr>
              <w:pStyle w:val="828"/>
              <w:pBdr/>
              <w:spacing/>
              <w:ind/>
              <w:jc w:val="center"/>
              <w:rPr>
                <w:rFonts w:eastAsia="Aptos Narrow"/>
                <w:b/>
                <w:bCs/>
                <w:color w:val="000000"/>
              </w:rPr>
            </w:pPr>
            <w:r>
              <w:rPr>
                <w:rFonts w:eastAsia="Aptos Narrow"/>
                <w:b/>
                <w:bCs/>
                <w:color w:val="000000"/>
                <w:lang w:val="en-US" w:bidi="ar"/>
              </w:rPr>
              <w:t xml:space="preserve">Valor unitário TOTAL</w:t>
            </w:r>
            <w:r>
              <w:rPr>
                <w:rFonts w:eastAsia="Aptos Narrow"/>
                <w:b/>
                <w:bCs/>
                <w:color w:val="000000"/>
              </w:rPr>
            </w:r>
            <w:r>
              <w:rPr>
                <w:rFonts w:eastAsia="Aptos Narrow"/>
                <w:b/>
                <w:bCs/>
                <w:color w:val="000000"/>
              </w:rPr>
            </w:r>
          </w:p>
        </w:tc>
      </w:tr>
      <w:tr>
        <w:trPr>
          <w:trHeight w:val="48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ADESIVO HOT MELT TERMOFUSÍVEL (COLA GRANULADA), EMBALAGEM COM 2,5 KG. COR BRANCA. COMPOSIÇÃO À BASE DE EVA (ETILENO-VINIL-ACETATO), RESINA</w:t>
            </w:r>
            <w:r>
              <w:rPr>
                <w:rFonts w:eastAsia="SimSun"/>
                <w:color w:val="000000"/>
                <w:lang w:bidi="ar"/>
              </w:rPr>
              <w:t xml:space="preserve">S SINTÉTICAS E ADITIVOS. INDICADO PARA USO EM COLADEIRAS DE BORDA, COMPATÍVEL COM APLICAÇÃO EM BORDOS DE PVC, ABS, PAPEL, LÂMINAS DE MADEIRA E LAMINADOS MELAMÍNICOS, SOBRE MDF, MDP, AGLOMERADO, MADEIRA OU COMPENSADO. TEMPERATURA DE APLICAÇÃO COMPATÍVEL COM</w:t>
            </w:r>
            <w:r>
              <w:rPr>
                <w:rFonts w:eastAsia="SimSun"/>
                <w:color w:val="000000"/>
                <w:lang w:bidi="ar"/>
              </w:rPr>
              <w:t xml:space="preserve"> O EQUIPAMENTO DE BAIXA E MÉDIA VELOCIDADE.</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437"/>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CANTONEIRA REFORÇADA DE METAL EM "L" COM CAPA PLÁSTICA BRANCA, MATERIAL METAL ZINCADO, COM 4 FUROS. MEDIDAS: 30MM X 30MM X 52MM (ALTURA X LARGURA X COMPRIMENTO).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72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3</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CANTONEIRA TIPO L, MACIÇA, DIMENSÕES 13X13 MM, ACABAMENTO NIQUELADO. EMBALAGEM CONTENDO 100 UNIDADES. MATERIAL ZAMAC. COR NÍQUEL, COM 02 FUROS PARA FIXAÇÃO, CAPACIDADE DE CARGA: DEVE SUPORTAR NO MÍNIMO 25 KG.</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150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96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4</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CHAPA DE COMPENSADO LAMINADO VIROLA TORNEADO, E</w:t>
            </w:r>
            <w:r>
              <w:rPr>
                <w:rFonts w:eastAsia="SimSun"/>
                <w:color w:val="000000"/>
                <w:lang w:bidi="ar"/>
              </w:rPr>
              <w:t xml:space="preserve">SPESSURA 15MM, MEDIDAS: 2,20 X 1,60 METROS (COMPRIMENTO X LARGURA). LÂMINA DE REVESTIMENTO VIROLA, COMPOSIÇÃO DO MIOLO BAJÃO E REVESTIMENTO VIROLA. </w:t>
            </w:r>
            <w:r>
              <w:rPr>
                <w:rFonts w:eastAsia="SimSun"/>
                <w:color w:val="000000"/>
                <w:lang w:val="en-US" w:bidi="ar"/>
              </w:rPr>
              <w:t xml:space="preserve">ESTRUTURA COMPENSADO LAMINADO.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792"/>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COLA DE CONTATO, EMBALAGEM CONTENDO NO MÍNIMO 2,8 QUILOS. ADESIVO DE CONTATO, COMPOSIÇÃO: BORRACHA DE POLICLOROPRENO, RESINAS SINTÉTICAS, SOLVENTES AROMÁTICOS E ALIFÁTICOS.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140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68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COLA INSTANTÂNEA MARCENEIRO, EMBALAGEM 100 GRAMAS. ADESIVO INSTANTÂNEO MULTIÚSO, MÉDIA VISCOSIDADE, ALTA RESISTÊNCIA. COMPOSIÇÃ</w:t>
            </w:r>
            <w:r>
              <w:rPr>
                <w:rFonts w:eastAsia="SimSun"/>
                <w:color w:val="000000"/>
                <w:lang w:bidi="ar"/>
              </w:rPr>
              <w:t xml:space="preserve">O CIANOACRILATO, COR TRANSPARENTE. EMBALAGEM COM BICO APLICADOR COM PINO METÁLICO. </w:t>
            </w:r>
            <w:r>
              <w:rPr>
                <w:rFonts w:eastAsia="SimSun"/>
                <w:color w:val="000000"/>
                <w:lang w:val="en-US" w:bidi="ar"/>
              </w:rPr>
              <w:t xml:space="preserve">APLICAÇÃO: MADEIRAS, MDF, COMPENSADOS, MDP, METAIS E PLÁSTICOS.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TUBO 100 GRAMA</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9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7</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COLADEIRA DE BORDA PORTÁTIL / MÓVEL. EQUIPAMENTO ADEQUADO PARA COLAGEM DE FITAS DE BO</w:t>
            </w:r>
            <w:r>
              <w:rPr>
                <w:rFonts w:eastAsia="SimSun"/>
                <w:color w:val="000000"/>
                <w:lang w:bidi="ar"/>
              </w:rPr>
              <w:t xml:space="preserve">RDA EM PVC, ABS, PAPEL E MADEIRA, SEM ADESIVO PRÉ-APLICADO, PARA USO EM PEÇAS EXCLUSIVAMENTE RETAS. DEVE PERMITIR O USO DE FITAS COM: ESPESSURA MÍNIMA DE 0,3 MM E MÁXIMA DE 2,0 MM; LARGURA MÍNIMA DE 10 MM E MÁXIMA DE 80 MM. O EQUIPAMENTO DEVERÁ POSSUIR: DE</w:t>
            </w:r>
            <w:r>
              <w:rPr>
                <w:rFonts w:eastAsia="SimSun"/>
                <w:color w:val="000000"/>
                <w:lang w:bidi="ar"/>
              </w:rPr>
              <w:t xml:space="preserve">STOPADOR MANUAL PARA CORTE DAS FITAS RENTE À BORDA DA PEÇA, NÃO SENDO EXIGIDO SISTEMA PNEUMÁTICO; CONTROLADOR DIGITAL DE TEMPERATURA, COM FAIXA DE AJUSTE ENTRE 120 °C E 220 °C; VELOCIDADE DE AVANÇO MÍNIMA DE 5,</w:t>
            </w:r>
            <w:r>
              <w:rPr>
                <w:rFonts w:eastAsia="SimSun"/>
                <w:color w:val="000000"/>
                <w:lang w:bidi="ar"/>
              </w:rPr>
              <w:t xml:space="preserve">5 M/MIN; POTÊNCIA MÍNIMA DA RESISTÊNCIA DE 1.500 W. ALIMENTAÇÃO ELÉTRICA: 220 V MONOFÁSICA OU BIVOLT. O EQUIPAMENTO DEVERÁ SER NOVO, ORIGINAL DE FÁBRICA, ACOMPANHADO DE MANUAL EM LÍNGUA PORTUGUESA E POSSUIR GARANTIA MÍNIMA DO FABRICANTE DE 12 (DOZE) MESES.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13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8</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COLETOR DE PÓ INDUSTRIAL PARA </w:t>
            </w:r>
            <w:r>
              <w:rPr>
                <w:rFonts w:eastAsia="SimSun"/>
                <w:color w:val="000000"/>
                <w:lang w:bidi="ar"/>
              </w:rPr>
              <w:t xml:space="preserve">MARCENARIA, DESTINADO À ASPIRAÇÃO DE RESÍDUOS SÓLIDOS (PÓ E CAVACOS DE MADEIRA). EQUIPADO COM MOTOR ELÉTRICO DE POTÊNCIA MÍNIMA DE 2 CV, 2 POLOS, MONOFÁSICO OU TRIFÁSICO, ADEQUADO PARA USO CONTÍNUO. DEVE POSSUIR, NO MÍNIMO: ALTURA APROXIMADA MÍNIMA DE 2.00</w:t>
            </w:r>
            <w:r>
              <w:rPr>
                <w:rFonts w:eastAsia="SimSun"/>
                <w:color w:val="000000"/>
                <w:lang w:bidi="ar"/>
              </w:rPr>
              <w:t xml:space="preserve">0 MM; VAZÃO MÍNIMA DE 28 M³/MIN; PRESSÃO ESTÁTICA MÁXIMA MÍNIMA DE 270 MMCA; DUAS BOCAS DE ENTRADA, COM DIÂMETRO NOMINAL DE 100 MM CADA; CAPACIDADE MÍNIMA DO RESERVATÓRIO DE 0,15 M³ (150 LITROS); SISTEMA DE COLETA COM RESERVATÓRIO INFERIOR EM SACO DE PANO </w:t>
            </w:r>
            <w:r>
              <w:rPr>
                <w:rFonts w:eastAsia="SimSun"/>
                <w:color w:val="000000"/>
                <w:lang w:bidi="ar"/>
              </w:rPr>
              <w:t xml:space="preserve">COLETOR E SACO FILTRANTE EM TECIDO, OU SISTEMA EQUIVALENTE, ADEQUADO À RETENÇÃO DE PÓ. O EQUIPAMENTO DEVERÁ SER NOVO, ORIGINAL DE FÁBRICA, ACOMPANHADO DE MANUAL EM LÍNGUA PORTUGUESA E POSSUIR GARANTIA MÍNIMA DO FABRICANTE DE 12 (DOZE) MESES.</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SimSun"/>
                <w:color w:val="000000"/>
                <w:lang w:val="en-US" w:bidi="ar"/>
              </w:rPr>
            </w:pPr>
            <w:r>
              <w:rPr>
                <w:rFonts w:eastAsia="SimSun"/>
                <w:color w:val="000000"/>
                <w:lang w:val="en-US" w:bidi="ar"/>
              </w:rPr>
            </w:r>
            <w:r>
              <w:rPr>
                <w:rFonts w:eastAsia="SimSun"/>
                <w:color w:val="000000"/>
                <w:lang w:val="en-US" w:bidi="ar"/>
              </w:rPr>
            </w:r>
          </w:p>
        </w:tc>
      </w:tr>
      <w:tr>
        <w:trPr>
          <w:trHeight w:val="92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9</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COMPRESSOR DE AR ALTERNATIVO LUBRIFICADO, COM RESERVATÓRIO HORIZONTAL DE CAPACIDADE MÍNIMA DE 110 LITROS. EQUIPADO COM: MOTOR ELÉTRICO MONOFÁSICO, COM POTÊNCIA DE NO MÍNIMO 2CV (1,49 KW), DOTADO DE PROTETOR TÉRMICO; PRESSÃO MÁXIMA DE TRABALHO MÍNIMA DE 9,</w:t>
            </w:r>
            <w:r>
              <w:rPr>
                <w:rFonts w:eastAsia="SimSun"/>
                <w:color w:val="000000"/>
                <w:lang w:bidi="ar"/>
              </w:rPr>
              <w:t xml:space="preserve">6 BAR; TRANSMISSÃO POR CORREIA; BLOCO COMPRESSOR EM FERRO FUNDIDO, COM SISTEMA DE TRABALHO EM V; SISTEMA DE LUBRIFICAÇÃO A ÓLEO. DEVERÁ CONTER, NO MÍNIMO: VÁLVULA DE RETENÇÃO; DRENO (VÁLVULA PURGADORA); PRESSOSTATO; MANÔMETRO; VÁLVULA DE SEGURANÇA; FILTROS</w:t>
            </w:r>
            <w:r>
              <w:rPr>
                <w:rFonts w:eastAsia="SimSun"/>
                <w:color w:val="000000"/>
                <w:lang w:bidi="ar"/>
              </w:rPr>
              <w:t xml:space="preserve"> DE AR; SERPENTINA ALETADA; REGISTRO DE SAÍDA DE AR; SISTEMA DE PROTEÇÃO DUPLA NAS PARTES GIRANTES. O EQUIPAMENTO DEVERÁ SER FORNECIDO COM: PRONTUÁRIO DE VASO DE PRESSÃO;  FICHA DE MANUTENÇÃO E TROCA DE ÓLEO; MANUAL DE INSTRUÇÕES EM PORTUGUÊS E CERTIFICADO</w:t>
            </w:r>
            <w:r>
              <w:rPr>
                <w:rFonts w:eastAsia="SimSun"/>
                <w:color w:val="000000"/>
                <w:lang w:bidi="ar"/>
              </w:rPr>
              <w:t xml:space="preserve"> DE GARANTIA, COM GARANTIA MÍNIMA DE 12 (DOZE) MESES. </w:t>
            </w:r>
            <w:r>
              <w:rPr>
                <w:rFonts w:eastAsia="SimSun"/>
                <w:color w:val="000000"/>
                <w:lang w:val="en-US" w:bidi="ar"/>
              </w:rPr>
              <w:t xml:space="preserve">ALIMENTAÇÃO ELÉTRICA 110/220 V OU BIVOLT.</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13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10</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CORREDIÇA TELESCÓPICA, COMPRIMENTO NOMINAL DE 350MM. EMBALAGEM CONTENDO 1 PAR. CONFECCIONADA EM AÇO, COM ACABAMENTO ZINCADO, DE ASPECTO ACETINADO NA COR PRATA. SISTEMA TELESCÓPICO COM ABERTURA TOTAL. CAPACIDADE MÍNIMA DE CARGA DE 30 KG POR PAR.</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72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11</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CORREDIÇA TELESCÓPICA, COMPRIMENTO NOMINAL DE 400MM. EMBALAGEM CONTENDO 1 PAR. CONFECCIONADA EM AÇO, COM ACABAMENTO ZINCADO, COR PRATA. D</w:t>
            </w:r>
            <w:r>
              <w:rPr>
                <w:rFonts w:eastAsia="SimSun"/>
                <w:color w:val="000000"/>
                <w:lang w:bidi="ar"/>
              </w:rPr>
              <w:t xml:space="preserve">ESTINADA A  FIXAÇÃO LATERAL, ALTURA</w:t>
            </w:r>
            <w:r>
              <w:rPr>
                <w:rFonts w:eastAsia="SimSun"/>
                <w:color w:val="000000"/>
                <w:lang w:bidi="ar"/>
              </w:rPr>
              <w:t xml:space="preserve"> APROXIMADA DE 42 MM, COMPATÍVEL COM CORREDIÇA TELESCÓPICA LATERAL DE 400 MM. CAPACIDADE MÍNIMA DE CARGA DE 30 KG POR PAR. DISPOSITIVO DE RETENÇÃO NA POSIÇÃO FECHADA, POR BORRACHA, BATENTE OU SISTEMA EQUIVALENTE, GARANTINDO A PERMANÊNCIA DA GAVETA FECHADA.</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1100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562"/>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12</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DOBRADIÇA CURVA (OU ALTA) PARA MÓVEIS, COM SISTEMA DE AMORTECIMENTO (SLOW MOTION) EMBUTIDO NO BRAÇO. DIÂMETRO DO CANECO: 35MM. CALÇO: H2 (ALTURA 2MM) COM SISTEMA DE FIXAÇÃO SLIDE-ON. TIPO DE FECHAMENTO</w:t>
            </w:r>
            <w:r>
              <w:rPr>
                <w:rFonts w:eastAsia="SimSun"/>
                <w:color w:val="000000"/>
                <w:lang w:bidi="ar"/>
              </w:rPr>
              <w:t xml:space="preserve">: PRESSÃO/AUTOMÁTICO. MATERIAL: AÇO. ACABAMENTO: NIQUELADO (CROMADO). COMPATÍVEL COM ESPESSURA DE PORTA DE 16MM A 26MM. ÂNGULO DE ABERTURA: 105° OU SUPERIOR.</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1000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607"/>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13</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ESQUADREJADEIRA COM EIXO INCLINÁVEL  - MOTOR MONOFÁSICO DE NO MÍNIMO 3 CV – 2 P</w:t>
            </w:r>
            <w:r>
              <w:rPr>
                <w:rFonts w:eastAsia="SimSun"/>
                <w:color w:val="000000"/>
                <w:lang w:bidi="ar"/>
              </w:rPr>
              <w:t xml:space="preserve">OLOS (PADRÃO); DIMENSÕES MÍNIMAS DA MESA MÓVEL DE 1300X 850 MM; CAPACIDADE DE CORTE DE NO MÍNIMO 3.000 MM; DIMENSÕES MÍNIMAS DA MESA FIXA DE 810X 600 MM; DIÂMETRO MÁXIMO DA SERRA 350 MM; INCLINAÇÃO 45°; LARGURA DE CORTE DA MESA FIXA 1.030 MM; COMPRIMENTO D</w:t>
            </w:r>
            <w:r>
              <w:rPr>
                <w:rFonts w:eastAsia="SimSun"/>
                <w:color w:val="000000"/>
                <w:lang w:bidi="ar"/>
              </w:rPr>
              <w:t xml:space="preserve">A GUIA EM ALUMÍNIO DE NO MÍNIMO 2.580 MM; ALTURA MÁXIMA DE CORTE 90º DE NO MÍNIMO 80 MM; ALTURA MÁXIMA DE CORTE 45° DE NO MÍNIMO 70 MM; PROLONGADOR DA MESA FIXA  DE NO MÍNIMO 550 MM.</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62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14</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FECHADURA PARA GAVETA, MEDIDAS: 32X17MM. MATERIAL AÇO / ZAMAK, COR PRATA, ACABAMENTO NIQUELADO. TIPO DE CHAVE FIXA COM ACABAMENTO EM PLÁSTICO POLIDO. ROTAÇÃO DA CHAVE 180º.</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283"/>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15</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0,40 MM. ROLO MEDIDAS: 22MM X 300M. </w:t>
            </w:r>
            <w:r>
              <w:rPr>
                <w:rFonts w:eastAsia="SimSun"/>
                <w:color w:val="000000"/>
                <w:lang w:val="en-US" w:bidi="ar"/>
              </w:rPr>
              <w:t xml:space="preserve">COR BRANCO,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70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43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16</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w:t>
            </w:r>
            <w:r>
              <w:rPr>
                <w:rFonts w:eastAsia="SimSun"/>
                <w:color w:val="000000"/>
                <w:lang w:bidi="ar"/>
              </w:rPr>
              <w:t xml:space="preserve">ITA DE BORDA PVC COM ESPESSURA 0,40 MM. ROLO MEDIDAS: 65MM X 20M. </w:t>
            </w:r>
            <w:r>
              <w:rPr>
                <w:rFonts w:eastAsia="SimSun"/>
                <w:color w:val="000000"/>
                <w:lang w:val="en-US" w:bidi="ar"/>
              </w:rPr>
              <w:t xml:space="preserve">COR BRANCO,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86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17</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FITA DE BORDA PVC COM ESPESSURA 0,45 MM. ROLO MEDIDAS: 22MM X 20MT. COR PADRÃO TONALIDADE MARROM DOURADO, ACABAMENTO TEXTURIZADO.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480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80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FURADEIRA DE BANCADA COM AJUSTE DE ALTURA, MOTOR COM POTÊNCIA DE NO MÍNIMO 1/2 HP; ROTAÇÃO 1.740 RPM / 60HZ; MANDRIL DE 5/8 POLEGADAS, CAPACIDADE DE PERFURAÇÃO DE 16 MM E PROFUNDIDADE DE 110MM OU SUPERIOR. DIMENSÕES DA MESA DE NO MÍNIMO: 200 X </w:t>
            </w:r>
            <w:r>
              <w:rPr>
                <w:rFonts w:eastAsia="SimSun"/>
                <w:color w:val="000000"/>
                <w:lang w:bidi="ar"/>
              </w:rPr>
              <w:t xml:space="preserve">190 MM, VOLTAGEM TRIFÁSICO. DESIGN ERGONÔMICO. NA EMBALAGEM DEVERÁ TER IDENTIFICAÇÃO DO FABRICANTE, CARACTERÍSTICAS DO PRODUTO E ACESSÓRIOS. </w:t>
            </w:r>
            <w:r>
              <w:rPr>
                <w:rFonts w:eastAsia="SimSun"/>
                <w:color w:val="000000"/>
                <w:lang w:val="en-US" w:bidi="ar"/>
              </w:rPr>
              <w:t xml:space="preserve">GARANTIA MINIMA DE 12 MESES DO FABRICANTE.</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78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19</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FURADEIRA E PARAFUSADEIRA DE IMPACTO A BATERIA, TENSÃO D</w:t>
            </w:r>
            <w:r>
              <w:rPr>
                <w:rFonts w:eastAsia="SimSun"/>
                <w:color w:val="000000"/>
                <w:lang w:bidi="ar"/>
              </w:rPr>
              <w:t xml:space="preserve">A BATERIA DE 20V MAX (18V NOMINAL) OU EQUIVALENTE; TORQUE MÁXIMO MÍNIMO DE 60 NM; VELOCIDADE SEM CARGA: 0-600 / 0-2.000 RPM; IMPACTOS POR MINUTO: 0-10.200 / 0-34.000 IPM; MADRIL DE APERTO RÁPIDO: 1/2" (13MM). FUNÇÕES: PARAFUSADEIRA, FURADEIRA E FURADEIRA C</w:t>
            </w:r>
            <w:r>
              <w:rPr>
                <w:rFonts w:eastAsia="SimSun"/>
                <w:color w:val="000000"/>
                <w:lang w:bidi="ar"/>
              </w:rPr>
              <w:t xml:space="preserve">OM IMPACTO; NÚMERO DE VELOCIDADE MECÂNI</w:t>
            </w:r>
            <w:r>
              <w:rPr>
                <w:rFonts w:eastAsia="SimSun"/>
                <w:color w:val="000000"/>
                <w:lang w:bidi="ar"/>
              </w:rPr>
              <w:t xml:space="preserve">CAS: 2. CAPACIDADES MÁXIMAS APROPRIADAS DE PERFURAÇÃO: MADEIRA 38MM; AÇO 13MM; ALVENARIA 13MM.  ITENS INCLUSOS NO KIT: 2 BATERIAS 20V MAX E 18V NOMINAL; 1 CARREGADOR COMPATÍVEL; 1 MALETA PLÁSTICA PARA TRANSPORTE; MANUAL DE INSTRUÇÕES EM LÍNGUA PORTUGUESA. </w:t>
            </w:r>
            <w:r>
              <w:rPr>
                <w:rFonts w:eastAsia="SimSun"/>
                <w:color w:val="000000"/>
                <w:lang w:val="en-US" w:bidi="ar"/>
              </w:rPr>
              <w:t xml:space="preserve">GARANTIA DE NO MÍNIMO 12 MESES. </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20</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rPr>
            </w:pPr>
            <w:r>
              <w:rPr>
                <w:rFonts w:eastAsia="SimSun"/>
                <w:color w:val="000000"/>
                <w:lang w:bidi="ar"/>
              </w:rPr>
              <w:t xml:space="preserve">MARTELETE EM AÇO, TIPO PERFURADOR ROMPEDOR, COM POTÊNCIA DE NO MÍNIMO 800 WATTS, COM CAPACIDADE DE IMPACTO DE NO MÍNIMO 2,9J, NA VOLTAGEM 220 VOLTS OU BIVOLT, ACOMPANHA</w:t>
            </w:r>
            <w:r>
              <w:rPr>
                <w:rFonts w:eastAsia="SimSun"/>
                <w:color w:val="000000"/>
                <w:lang w:bidi="ar"/>
              </w:rPr>
              <w:t xml:space="preserve">R MANDRIL SDS-PLUS E MALETA PARA ACONDICIONAMENTO ADEQUADO.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5</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215"/>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21</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25 MM (DIÂMETRO X COMPRIMENTO). EMBALAGEM COM 1.000 (MIL)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66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22</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35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66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23</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3,5 X 40 MM (DIÂME</w:t>
            </w:r>
            <w:r>
              <w:rPr>
                <w:rFonts w:eastAsia="SimSun"/>
                <w:color w:val="000000"/>
                <w:lang w:bidi="ar"/>
              </w:rPr>
              <w:t xml:space="preserv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180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24</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4 X 16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300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25</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4 X 25 MM (DIÂMETRO X COMPRIMENTO). EMBALAGEM COM 1.000 (MIL)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240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26</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w:t>
            </w:r>
            <w:r>
              <w:rPr>
                <w:rFonts w:eastAsia="SimSun"/>
                <w:color w:val="000000"/>
                <w:lang w:bidi="ar"/>
              </w:rPr>
              <w:t xml:space="preserve">BEÇA CHATA, MEDIDAS 4 X 40 MM (DIÂMETRO X COMPRIMENTO). EMBALAGEM COM 500 UNIDADES. MATERIAL AÇO CARBONO COM ACABAMENTO BICROMATIZADO.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27</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6 X 50 MM (DIÂMETRO X COMPRIMENTO). EMBALAGEM COM 200 UNIDADES. PADRÃO DE ENCAIXE PHILLIPS. MATERIAL AÇO CARBONO COM ACABAMENTO BICROMATIZADO, TRATAMENTO CEMENTADO.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90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28</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PARAFUSO ROSCA CHIPBOARD CABEÇA CHATA, MEDIDAS 6 X 60 MM (DIÂMETRO X COMPRIMENTO). EMBALAGEM COM 200 UNIDADES. PADRÃO DE ENCAIXE PH</w:t>
            </w:r>
            <w:r>
              <w:rPr>
                <w:rFonts w:eastAsia="SimSun"/>
                <w:color w:val="000000"/>
                <w:lang w:bidi="ar"/>
              </w:rPr>
              <w:t xml:space="preserve">ILLIPS. MATERIAL AÇO CARBONO COM ACABAMENTO BICROMATIZADO, TRATAMENTO CEMENTADO.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60</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rPr>
            </w:pPr>
            <w:r>
              <w:rPr>
                <w:rFonts w:eastAsia="SimSun"/>
                <w:color w:val="000000"/>
                <w:lang w:val="en-US" w:bidi="ar"/>
              </w:rPr>
              <w:t xml:space="preserve">29</w:t>
            </w:r>
            <w:r>
              <w:rPr>
                <w:rFonts w:eastAsia="Aptos Narrow"/>
                <w:color w:val="000000"/>
              </w:rPr>
            </w:r>
            <w:r>
              <w:rPr>
                <w:rFonts w:eastAsia="Aptos Narrow"/>
                <w:color w:val="000000"/>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rPr>
            </w:pPr>
            <w:r>
              <w:rPr>
                <w:rFonts w:eastAsia="SimSun"/>
                <w:color w:val="000000"/>
                <w:lang w:bidi="ar"/>
              </w:rPr>
              <w:t xml:space="preserve">PLACA DE MDF COM ESPESSURA 15MM 2 FACES. COR PADRÃO BRANCO TX, ACABAMENTO TEXTURIZADO. MED</w:t>
            </w:r>
            <w:r>
              <w:rPr>
                <w:rFonts w:eastAsia="SimSun"/>
                <w:color w:val="000000"/>
                <w:lang w:bidi="ar"/>
              </w:rPr>
              <w:t xml:space="preserve">IDAS MÍNIMAS: 2.750 X 1.850 X 15 MM (COMPRIMENTO X LARGURA X ESPESSURA). ACABAMENTO: REVESTIMENTO MELAMÍNICO DE BAIXA PRESSÃO (BP) NAS DUAS FACES CONFORME PADRÃO INDICADO. GARANTIA DO FABRICANTE DE NO MÍNIMO 90 DIAS CONTRA VÍCIOS OU DEFEITOS DE FABRICAÇÃO.</w:t>
            </w:r>
            <w:r>
              <w:rPr>
                <w:rFonts w:eastAsia="Aptos Narrow"/>
                <w:color w:val="000000"/>
              </w:rPr>
            </w:r>
            <w:r>
              <w:rPr>
                <w:rFonts w:eastAsia="Aptos Narrow"/>
                <w:color w:val="000000"/>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UNIDADE</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rPr>
            </w:pPr>
            <w:r>
              <w:rPr>
                <w:rFonts w:eastAsia="SimSun"/>
                <w:color w:val="000000"/>
                <w:lang w:val="en-US" w:bidi="ar"/>
              </w:rPr>
              <w:t xml:space="preserve">704</w:t>
            </w: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rPr>
            </w:pPr>
            <w:r>
              <w:rPr>
                <w:rFonts w:eastAsia="Aptos Narrow"/>
                <w:color w:val="000000"/>
              </w:rPr>
            </w:r>
            <w:r>
              <w:rPr>
                <w:rFonts w:eastAsia="Aptos Narrow"/>
                <w:color w:val="000000"/>
              </w:rPr>
            </w:r>
          </w:p>
        </w:tc>
      </w:tr>
      <w:tr>
        <w:trPr>
          <w:trHeight w:val="4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30</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PLACA DE MDF COM ESPESSURA 15MM 2 FACES. COR PADR</w:t>
            </w:r>
            <w:r>
              <w:rPr>
                <w:rFonts w:eastAsia="SimSun"/>
                <w:color w:val="000000"/>
                <w:lang w:bidi="ar"/>
              </w:rPr>
              <w:t xml:space="preserve">ÃO TONALIDADE MARROM D</w:t>
            </w:r>
            <w:r>
              <w:rPr>
                <w:rFonts w:eastAsia="SimSun"/>
                <w:color w:val="000000"/>
                <w:lang w:bidi="ar"/>
              </w:rPr>
              <w:t xml:space="preserve">OURADO, ACABAMENTO QUE SIMULA A MADEIRA NOGUEIRA, TEXTURA LINEA. MEDIDAS MÍNIMAS: 2.750 X 1.850 X 15 MM (COMPRIMENTO X LARGURA X ESPESSURA). COMPOSIÇÃO FIBRA DE EUCALIPTO. GARANTIA DO FABRICANTE DE NO MÍNIMO 90 DIAS CONTRA VÍCIOS OU DEFEITOS DE FABRICAÇÃO.</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1104</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31</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5523" w:type="dxa"/>
            <w:vAlign w:val="center"/>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PLACA DE MDF ESPESSURA 6MM 2 FACES. COR PADRÃO BRANCO TX, ACABAMENTO TEXTURIZADO. MEDIDAS MÍNIMAS: 2.750 X 1.850 X 6 MM (COMPRIMENTO X LARGURA X ESPESSURA). ACABAMENTO: REVESTIMENTO MELAMÍNICO DE BAIXA PRESSÃO (BP)</w:t>
            </w:r>
            <w:r>
              <w:rPr>
                <w:rFonts w:eastAsia="SimSun"/>
                <w:color w:val="000000"/>
                <w:lang w:bidi="ar"/>
              </w:rPr>
              <w:t xml:space="preserve"> NAS DUAS FACES CONFORME PADRÃO INDICADO. GARANTIA DO FABRICANTE DE NO MÍNIMO 90 DIAS CONTRA VÍCIOS OU DEFEITOS DE FABRICAÇÃO.</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450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32</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PLAINA ELÉTRICA PARA MADEIRA, POTÊNCIA DE NO MÍNIMO 550W E 17000 RPM OU SUPERIOR; LARGURA MÍNIMA DA LÂMINA DE 82MM; TENSÃO BIVOLT.</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1</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33</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SAPATA NIVELADORA REGULÁVEL PARA MÓVEIS, ROSCA 5/16" X 1", COM BUCHA COMPATÍVEL, BASE COM DIÂMETRO/SEÇÃO APROXIMADA DE 31 MM, ALTURA MÁXIMA APROXIMADA DE 40 MM, COM REGULAGEM DE ALTURA, MATERIAL AÇO / ZAMAC, ACABAMENTO Z</w:t>
            </w:r>
            <w:r>
              <w:rPr>
                <w:rFonts w:eastAsia="SimSun"/>
                <w:color w:val="000000"/>
                <w:lang w:bidi="ar"/>
              </w:rPr>
              <w:t xml:space="preserve">INCADO, PRÓPRIA PARA CORREÇÃO DE DESNÍVEL E APOIO DE MÓVEIS.</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2000</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34</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highlight w:val="green"/>
                <w:lang w:val="en-US" w:bidi="ar"/>
              </w:rPr>
            </w:pPr>
            <w:r>
              <w:rPr>
                <w:rFonts w:eastAsia="SimSun"/>
                <w:color w:val="000000"/>
                <w:lang w:bidi="ar"/>
              </w:rPr>
              <w:t xml:space="preserve">SE</w:t>
            </w:r>
            <w:r>
              <w:rPr>
                <w:rFonts w:eastAsia="SimSun"/>
                <w:color w:val="000000"/>
                <w:lang w:bidi="ar"/>
              </w:rPr>
              <w:t xml:space="preserve">RRA ELÉTRICA MODELO TICO-TICO, POTÊNCIA DE NO MÍNIMO 650W, ROTAÇÃO DE 500 A 3100 RPM SEM CARGA, COM CAPACIDADE DE CORTE DE NO MÍNIMO: MADEIRA 120MM, ALUMÍNIO 20MM E AÇO 10MM. TENSÃO DE 220V OU BIVOLT. ACONDICIONADA EM EMBALAGEM ADEQUADA PARA O TRANSPORTE. </w:t>
            </w:r>
            <w:r>
              <w:rPr>
                <w:rFonts w:eastAsia="SimSun"/>
                <w:color w:val="000000"/>
                <w:lang w:val="en-US" w:bidi="ar"/>
              </w:rPr>
              <w:t xml:space="preserve">MANUAL DE INSTRUÇÕES EM PORTUGUÊS E CERTIFICADO DE GARANTIA.</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r>
      <w:tr>
        <w:trPr>
          <w:trHeight w:val="440"/>
        </w:trPr>
        <w:tc>
          <w:tcPr>
            <w:tcBorders>
              <w:top w:val="single" w:color="000000" w:sz="2" w:space="0"/>
              <w:left w:val="single" w:color="000000" w:sz="2" w:space="0"/>
              <w:bottom w:val="single" w:color="000000" w:sz="2" w:space="0"/>
              <w:right w:val="single" w:color="000000" w:sz="2" w:space="0"/>
            </w:tcBorders>
            <w:tcW w:w="583" w:type="dxa"/>
            <w:vAlign w:val="center"/>
            <w:textDirection w:val="lrTb"/>
            <w:noWrap/>
          </w:tcPr>
          <w:p>
            <w:pPr>
              <w:pStyle w:val="828"/>
              <w:pBdr/>
              <w:spacing/>
              <w:ind/>
              <w:jc w:val="center"/>
              <w:rPr>
                <w:rFonts w:eastAsia="Aptos Narrow"/>
                <w:color w:val="000000"/>
                <w:highlight w:val="green"/>
                <w:lang w:bidi="ar"/>
              </w:rPr>
            </w:pPr>
            <w:r>
              <w:rPr>
                <w:rFonts w:eastAsia="SimSun"/>
                <w:color w:val="000000"/>
                <w:lang w:val="en-US" w:bidi="ar"/>
              </w:rPr>
              <w:t xml:space="preserve">35</w:t>
            </w:r>
            <w:r>
              <w:rPr>
                <w:rFonts w:eastAsia="Aptos Narrow"/>
                <w:color w:val="000000"/>
                <w:highlight w:val="green"/>
                <w:lang w:bidi="ar"/>
              </w:rPr>
            </w:r>
            <w:r>
              <w:rPr>
                <w:rFonts w:eastAsia="Aptos Narrow"/>
                <w:color w:val="000000"/>
                <w:highlight w:val="green"/>
                <w:lang w:bidi="ar"/>
              </w:rPr>
            </w:r>
          </w:p>
        </w:tc>
        <w:tc>
          <w:tcPr>
            <w:tcBorders>
              <w:top w:val="single" w:color="auto" w:sz="4" w:space="0"/>
              <w:left w:val="single" w:color="auto" w:sz="4" w:space="0"/>
              <w:bottom w:val="single" w:color="auto" w:sz="4" w:space="0"/>
              <w:right w:val="single" w:color="auto" w:sz="4" w:space="0"/>
            </w:tcBorders>
            <w:tcW w:w="5523" w:type="dxa"/>
            <w:vAlign w:val="top"/>
            <w:textDirection w:val="lrTb"/>
            <w:noWrap w:val="false"/>
          </w:tcPr>
          <w:p>
            <w:pPr>
              <w:pStyle w:val="828"/>
              <w:pBdr/>
              <w:spacing/>
              <w:ind/>
              <w:jc w:val="both"/>
              <w:rPr>
                <w:rFonts w:eastAsia="Aptos Narrow"/>
                <w:color w:val="000000"/>
                <w:highlight w:val="green"/>
                <w:lang w:bidi="ar"/>
              </w:rPr>
            </w:pPr>
            <w:r>
              <w:rPr>
                <w:rFonts w:eastAsia="SimSun"/>
                <w:color w:val="000000"/>
                <w:lang w:bidi="ar"/>
              </w:rPr>
              <w:t xml:space="preserve">SERRA ESQUADRIA 10", POTÊNCIA DE NO MÍNIMO 1650 WATTS, VOLTAGEM 127V OU BIVOLT. MANUAL DE INSTRUÇ</w:t>
            </w:r>
            <w:r>
              <w:rPr>
                <w:rFonts w:eastAsia="SimSun"/>
                <w:color w:val="000000"/>
                <w:lang w:bidi="ar"/>
              </w:rPr>
              <w:t xml:space="preserve">ÕES EM PORTUGUÊS E CERTIFICADO DE GARANTIA.</w:t>
            </w:r>
            <w:r>
              <w:rPr>
                <w:rFonts w:eastAsia="Aptos Narrow"/>
                <w:color w:val="000000"/>
                <w:highlight w:val="green"/>
                <w:lang w:bidi="ar"/>
              </w:rPr>
            </w:r>
            <w:r>
              <w:rPr>
                <w:rFonts w:eastAsia="Aptos Narrow"/>
                <w:color w:val="000000"/>
                <w:highlight w:val="green"/>
                <w:lang w:bidi="ar"/>
              </w:rPr>
            </w:r>
          </w:p>
        </w:tc>
        <w:tc>
          <w:tcPr>
            <w:tcBorders>
              <w:top w:val="single" w:color="000000" w:sz="2" w:space="0"/>
              <w:left w:val="single" w:color="auto" w:sz="4" w:space="0"/>
              <w:bottom w:val="single" w:color="000000" w:sz="2" w:space="0"/>
              <w:right w:val="single" w:color="000000" w:sz="2" w:space="0"/>
            </w:tcBorders>
            <w:tcW w:w="1134"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UNIDADE</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567" w:type="dxa"/>
            <w:vAlign w:val="center"/>
            <w:textDirection w:val="lrTb"/>
            <w:noWrap w:val="false"/>
          </w:tcPr>
          <w:p>
            <w:pPr>
              <w:pStyle w:val="828"/>
              <w:pBdr/>
              <w:spacing/>
              <w:ind/>
              <w:jc w:val="center"/>
              <w:rPr>
                <w:rFonts w:eastAsia="Aptos Narrow"/>
                <w:color w:val="000000"/>
                <w:highlight w:val="green"/>
                <w:lang w:val="en-US" w:bidi="ar"/>
              </w:rPr>
            </w:pPr>
            <w:r>
              <w:rPr>
                <w:rFonts w:eastAsia="SimSun"/>
                <w:color w:val="000000"/>
                <w:lang w:val="en-US" w:bidi="ar"/>
              </w:rPr>
              <w:t xml:space="preserve">2</w:t>
            </w: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275"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c>
          <w:tcPr>
            <w:tcBorders>
              <w:top w:val="single" w:color="000000" w:sz="2" w:space="0"/>
              <w:left w:val="single" w:color="000000" w:sz="2" w:space="0"/>
              <w:bottom w:val="single" w:color="000000" w:sz="2" w:space="0"/>
              <w:right w:val="single" w:color="000000" w:sz="2" w:space="0"/>
            </w:tcBorders>
            <w:tcW w:w="1386" w:type="dxa"/>
            <w:vAlign w:val="center"/>
            <w:textDirection w:val="lrTb"/>
            <w:noWrap/>
          </w:tcPr>
          <w:p>
            <w:pPr>
              <w:pStyle w:val="828"/>
              <w:pBdr/>
              <w:spacing/>
              <w:ind/>
              <w:jc w:val="center"/>
              <w:rPr>
                <w:rFonts w:eastAsia="Aptos Narrow"/>
                <w:color w:val="000000"/>
                <w:highlight w:val="green"/>
                <w:lang w:val="en-US" w:bidi="ar"/>
              </w:rPr>
            </w:pPr>
            <w:r>
              <w:rPr>
                <w:rFonts w:eastAsia="Aptos Narrow"/>
                <w:color w:val="000000"/>
                <w:highlight w:val="green"/>
                <w:lang w:val="en-US" w:bidi="ar"/>
              </w:rPr>
            </w:r>
            <w:r>
              <w:rPr>
                <w:rFonts w:eastAsia="Aptos Narrow"/>
                <w:color w:val="000000"/>
                <w:highlight w:val="green"/>
                <w:lang w:val="en-US" w:bidi="ar"/>
              </w:rPr>
            </w:r>
          </w:p>
        </w:tc>
      </w:tr>
    </w:tbl>
    <w:p>
      <w:pPr>
        <w:pStyle w:val="828"/>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p>
      <w:pPr>
        <w:pStyle w:val="828"/>
        <w:pBdr/>
        <w:tabs>
          <w:tab w:val="left" w:leader="none" w:pos="2714"/>
          <w:tab w:val="left" w:leader="none" w:pos="10419"/>
        </w:tabs>
        <w:spacing/>
        <w:ind/>
        <w:rPr>
          <w:rFonts w:ascii="Arial" w:hAnsi="Arial" w:cs="Arial"/>
          <w:b/>
        </w:rPr>
      </w:pPr>
      <w:r>
        <w:rPr>
          <w:rFonts w:ascii="Arial" w:hAnsi="Arial" w:cs="Arial"/>
          <w:b/>
        </w:rPr>
        <w:t xml:space="preserve">VALOR TOTAL POR EXTENSO. </w:t>
      </w:r>
      <w:r>
        <w:rPr>
          <w:rFonts w:ascii="Arial" w:hAnsi="Arial" w:cs="Arial"/>
          <w:b/>
        </w:rPr>
      </w:r>
      <w:r>
        <w:rPr>
          <w:rFonts w:ascii="Arial" w:hAnsi="Arial" w:cs="Arial"/>
          <w:b/>
        </w:rPr>
      </w:r>
    </w:p>
    <w:p>
      <w:pPr>
        <w:pStyle w:val="828"/>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p>
      <w:pPr>
        <w:pStyle w:val="972"/>
        <w:pBdr/>
        <w:spacing/>
        <w:ind w:left="0"/>
        <w:jc w:val="both"/>
        <w:rPr>
          <w:rFonts w:ascii="Arial" w:hAnsi="Arial" w:cs="Arial"/>
          <w:sz w:val="20"/>
          <w:szCs w:val="20"/>
          <w:lang w:val="pt-BR"/>
        </w:rPr>
      </w:pPr>
      <w:r>
        <w:rPr>
          <w:rFonts w:ascii="Arial" w:hAnsi="Arial" w:cs="Arial"/>
          <w:sz w:val="20"/>
          <w:szCs w:val="20"/>
          <w:lang w:val="pt-BR"/>
        </w:rPr>
        <w:t xml:space="preserve">1 – Nos preços estão inclusos todos os custos básicos diretos, bem como quaisquer outros custos ou despesas que incidam ou venham a incidir direta ou indiretamente que porventura possam recair sobre o fornecimento.</w:t>
      </w:r>
      <w:r>
        <w:rPr>
          <w:rFonts w:ascii="Arial" w:hAnsi="Arial" w:cs="Arial"/>
          <w:sz w:val="20"/>
          <w:szCs w:val="20"/>
          <w:lang w:val="pt-BR"/>
        </w:rPr>
      </w:r>
    </w:p>
    <w:p>
      <w:pPr>
        <w:pStyle w:val="972"/>
        <w:pBdr/>
        <w:spacing/>
        <w:ind w:left="0"/>
        <w:jc w:val="both"/>
        <w:rPr>
          <w:rFonts w:ascii="Arial" w:hAnsi="Arial" w:cs="Arial"/>
          <w:sz w:val="20"/>
          <w:szCs w:val="20"/>
          <w:lang w:val="pt-BR"/>
        </w:rPr>
      </w:pPr>
      <w:r>
        <w:rPr>
          <w:rFonts w:ascii="Arial" w:hAnsi="Arial" w:cs="Arial"/>
          <w:sz w:val="20"/>
          <w:szCs w:val="20"/>
          <w:lang w:val="pt-BR"/>
        </w:rPr>
        <w:t xml:space="preserve">2 – Declaramos que temos pleno conhecimento de todas as condições estabelecidas no termo de referência, edital e anexos, bem como do (s) local (is) de entrega do objeto licitado.</w:t>
      </w:r>
      <w:r>
        <w:rPr>
          <w:rFonts w:ascii="Arial" w:hAnsi="Arial" w:cs="Arial"/>
          <w:sz w:val="20"/>
          <w:szCs w:val="20"/>
          <w:lang w:val="pt-BR"/>
        </w:rPr>
      </w:r>
    </w:p>
    <w:p>
      <w:pPr>
        <w:pStyle w:val="972"/>
        <w:pBdr/>
        <w:spacing/>
        <w:ind w:left="0"/>
        <w:jc w:val="both"/>
        <w:rPr>
          <w:rFonts w:ascii="Arial" w:hAnsi="Arial" w:cs="Arial"/>
          <w:sz w:val="20"/>
          <w:szCs w:val="20"/>
          <w:lang w:val="pt-BR"/>
        </w:rPr>
      </w:pPr>
      <w:r>
        <w:rPr>
          <w:rFonts w:ascii="Arial" w:hAnsi="Arial" w:cs="Arial"/>
          <w:sz w:val="20"/>
          <w:szCs w:val="20"/>
          <w:lang w:val="pt-BR"/>
        </w:rPr>
        <w:t xml:space="preserve">3 – Declaramos que assumimos inte</w:t>
      </w:r>
      <w:r>
        <w:rPr>
          <w:rFonts w:ascii="Arial" w:hAnsi="Arial" w:cs="Arial"/>
          <w:sz w:val="20"/>
          <w:szCs w:val="20"/>
          <w:lang w:val="pt-BR"/>
        </w:rPr>
        <w:t xml:space="preserve">ira e completa responsabilidade pela perfeita execução da entrega dos produtos/serviços, conforme condições estabelecidas no termo de referência, edital e anexos.</w:t>
      </w:r>
      <w:r>
        <w:rPr>
          <w:rFonts w:ascii="Arial" w:hAnsi="Arial" w:cs="Arial"/>
          <w:sz w:val="20"/>
          <w:szCs w:val="20"/>
          <w:lang w:val="pt-BR"/>
        </w:rPr>
      </w:r>
    </w:p>
    <w:p>
      <w:pPr>
        <w:pStyle w:val="972"/>
        <w:pBdr/>
        <w:spacing/>
        <w:ind w:left="0"/>
        <w:jc w:val="both"/>
        <w:rPr>
          <w:rFonts w:ascii="Arial" w:hAnsi="Arial" w:cs="Arial"/>
          <w:sz w:val="20"/>
          <w:szCs w:val="20"/>
          <w:lang w:val="pt-BR"/>
        </w:rPr>
      </w:pPr>
      <w:r>
        <w:rPr>
          <w:rFonts w:ascii="Arial" w:hAnsi="Arial" w:cs="Arial"/>
          <w:sz w:val="20"/>
          <w:szCs w:val="20"/>
          <w:lang w:val="pt-BR"/>
        </w:rPr>
        <w:t xml:space="preserve">4 – Declaramos que possuímos total capacidade técnica para atendermos ao objeto solicitado.</w:t>
      </w:r>
      <w:r>
        <w:rPr>
          <w:rFonts w:ascii="Arial" w:hAnsi="Arial" w:cs="Arial"/>
          <w:sz w:val="20"/>
          <w:szCs w:val="20"/>
          <w:lang w:val="pt-BR"/>
        </w:rPr>
      </w:r>
    </w:p>
    <w:p>
      <w:pPr>
        <w:pStyle w:val="972"/>
        <w:pBdr/>
        <w:spacing/>
        <w:ind w:left="0"/>
        <w:jc w:val="both"/>
        <w:rPr>
          <w:rFonts w:ascii="Arial" w:hAnsi="Arial" w:cs="Arial"/>
          <w:sz w:val="20"/>
          <w:szCs w:val="20"/>
          <w:lang w:val="pt-BR"/>
        </w:rPr>
      </w:pPr>
      <w:r>
        <w:rPr>
          <w:rFonts w:ascii="Arial" w:hAnsi="Arial" w:cs="Arial"/>
          <w:sz w:val="20"/>
          <w:szCs w:val="20"/>
          <w:lang w:val="pt-BR"/>
        </w:rPr>
        <w:t xml:space="preserve">5 – O prazo de validade da proposta é de 120 (cento e vinte) dias corridos, contados da entrega dos envelopes “PROPOSTA DE PREÇOS”.</w:t>
      </w:r>
      <w:r>
        <w:rPr>
          <w:rFonts w:ascii="Arial" w:hAnsi="Arial" w:cs="Arial"/>
          <w:sz w:val="20"/>
          <w:szCs w:val="20"/>
          <w:lang w:val="pt-BR"/>
        </w:rPr>
      </w:r>
    </w:p>
    <w:p>
      <w:pPr>
        <w:pStyle w:val="961"/>
        <w:pBdr/>
        <w:spacing/>
        <w:ind/>
        <w:jc w:val="both"/>
        <w:rPr>
          <w:rFonts w:ascii="Arial" w:hAnsi="Arial" w:cs="Arial"/>
        </w:rPr>
      </w:pPr>
      <w:r>
        <w:rPr>
          <w:rFonts w:ascii="Arial" w:hAnsi="Arial" w:cs="Arial"/>
        </w:rPr>
        <w:t xml:space="preserve">6 – O prazo de realização dos serviços/entrega do produto é</w:t>
      </w:r>
      <w:r>
        <w:rPr>
          <w:rFonts w:ascii="Arial" w:hAnsi="Arial" w:cs="Arial"/>
          <w:b/>
        </w:rPr>
        <w:t xml:space="preserve"> </w:t>
      </w:r>
      <w:r>
        <w:rPr>
          <w:rFonts w:ascii="Arial" w:hAnsi="Arial" w:cs="Arial"/>
        </w:rPr>
        <w:t xml:space="preserve">de acordo com o previsto contida no edital e seus anexos.</w:t>
      </w:r>
      <w:r>
        <w:rPr>
          <w:rFonts w:ascii="Arial" w:hAnsi="Arial" w:cs="Arial"/>
        </w:rPr>
      </w:r>
    </w:p>
    <w:p>
      <w:pPr>
        <w:pStyle w:val="828"/>
        <w:pBdr/>
        <w:spacing/>
        <w:ind w:hanging="426" w:left="426"/>
        <w:jc w:val="both"/>
        <w:rPr>
          <w:rFonts w:ascii="Arial" w:hAnsi="Arial" w:cs="Arial"/>
        </w:rPr>
      </w:pPr>
      <w:r>
        <w:rPr>
          <w:rFonts w:ascii="Arial" w:hAnsi="Arial" w:cs="Arial"/>
        </w:rPr>
        <w:t xml:space="preserve">7 – Apr</w:t>
      </w:r>
      <w:r>
        <w:rPr>
          <w:rFonts w:ascii="Arial" w:hAnsi="Arial" w:cs="Arial"/>
        </w:rPr>
        <w:t xml:space="preserve">esentamos, conforme exigido, nossos dados bancários:</w:t>
      </w:r>
      <w:r>
        <w:rPr>
          <w:rFonts w:ascii="Arial" w:hAnsi="Arial" w:cs="Arial"/>
        </w:rPr>
      </w:r>
    </w:p>
    <w:p>
      <w:pPr>
        <w:pStyle w:val="828"/>
        <w:pBdr/>
        <w:spacing w:line="360" w:lineRule="auto"/>
        <w:ind w:firstLine="284"/>
        <w:jc w:val="both"/>
        <w:rPr>
          <w:rFonts w:ascii="Arial" w:hAnsi="Arial" w:cs="Arial"/>
        </w:rPr>
      </w:pPr>
      <w:r>
        <w:rPr>
          <w:rFonts w:ascii="Arial" w:hAnsi="Arial" w:cs="Arial"/>
        </w:rPr>
        <w:t xml:space="preserve">NOME DO BANCO ......................... N° ...............</w:t>
      </w:r>
      <w:r>
        <w:rPr>
          <w:rFonts w:ascii="Arial" w:hAnsi="Arial" w:cs="Arial"/>
        </w:rPr>
      </w:r>
    </w:p>
    <w:p>
      <w:pPr>
        <w:pStyle w:val="828"/>
        <w:pBdr/>
        <w:spacing w:line="360" w:lineRule="auto"/>
        <w:ind w:firstLine="284"/>
        <w:jc w:val="both"/>
        <w:rPr>
          <w:rFonts w:ascii="Arial" w:hAnsi="Arial" w:cs="Arial"/>
        </w:rPr>
      </w:pPr>
      <w:r>
        <w:rPr>
          <w:rFonts w:ascii="Arial" w:hAnsi="Arial" w:cs="Arial"/>
        </w:rPr>
        <w:t xml:space="preserve">NOME DA AGÊNCIA ....................... N° ..............</w:t>
      </w:r>
      <w:r>
        <w:rPr>
          <w:rFonts w:ascii="Arial" w:hAnsi="Arial" w:cs="Arial"/>
        </w:rPr>
      </w:r>
    </w:p>
    <w:p>
      <w:pPr>
        <w:pStyle w:val="828"/>
        <w:pBdr/>
        <w:spacing w:line="360" w:lineRule="auto"/>
        <w:ind w:firstLine="284"/>
        <w:jc w:val="both"/>
        <w:rPr>
          <w:rFonts w:ascii="Arial" w:hAnsi="Arial" w:cs="Arial"/>
        </w:rPr>
      </w:pPr>
      <w:r>
        <w:rPr>
          <w:rFonts w:ascii="Arial" w:hAnsi="Arial" w:cs="Arial"/>
        </w:rPr>
        <w:t xml:space="preserve">NÚMERO DA CONTA ..........................................</w:t>
      </w:r>
      <w:r>
        <w:rPr>
          <w:rFonts w:ascii="Arial" w:hAnsi="Arial" w:cs="Arial"/>
        </w:rPr>
      </w:r>
    </w:p>
    <w:p>
      <w:pPr>
        <w:pStyle w:val="828"/>
        <w:pBdr/>
        <w:spacing/>
        <w:ind/>
        <w:jc w:val="both"/>
        <w:rPr>
          <w:rFonts w:ascii="Arial" w:hAnsi="Arial" w:cs="Arial"/>
        </w:rPr>
      </w:pPr>
      <w:r>
        <w:rPr>
          <w:rFonts w:ascii="Arial" w:hAnsi="Arial" w:cs="Arial"/>
        </w:rPr>
        <w:t xml:space="preserve">Local/data.................................................................................</w:t>
      </w:r>
      <w:r>
        <w:rPr>
          <w:rFonts w:ascii="Arial" w:hAnsi="Arial" w:cs="Arial"/>
        </w:rPr>
      </w:r>
    </w:p>
    <w:p>
      <w:pPr>
        <w:pStyle w:val="828"/>
        <w:pBdr/>
        <w:spacing/>
        <w:ind/>
        <w:jc w:val="center"/>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t xml:space="preserve">(Assinatura do Representante Legal pela Empresa)</w:t>
      </w:r>
      <w:r>
        <w:rPr>
          <w:rFonts w:ascii="Arial" w:hAnsi="Arial" w:cs="Arial"/>
        </w:rPr>
      </w:r>
    </w:p>
    <w:p>
      <w:pPr>
        <w:pStyle w:val="828"/>
        <w:pBdr/>
        <w:spacing/>
        <w:ind/>
        <w:jc w:val="center"/>
        <w:rPr>
          <w:rFonts w:ascii="Arial" w:hAnsi="Arial" w:cs="Arial"/>
        </w:rPr>
      </w:pPr>
      <w:r>
        <w:rPr>
          <w:rFonts w:ascii="Arial" w:hAnsi="Arial" w:cs="Arial"/>
        </w:rPr>
        <w:t xml:space="preserve">Nome/Cargo e Carimbo CNPJ</w:t>
      </w:r>
      <w:r>
        <w:rPr>
          <w:rFonts w:ascii="Arial" w:hAnsi="Arial" w:cs="Arial"/>
        </w:rPr>
      </w:r>
    </w:p>
    <w:p>
      <w:pPr>
        <w:pStyle w:val="828"/>
        <w:pBdr/>
        <w:spacing/>
        <w:ind/>
        <w:jc w:val="center"/>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br w:type="page" w:clear="all"/>
      </w:r>
      <w:r>
        <w:rPr>
          <w:rFonts w:ascii="Arial" w:hAnsi="Arial" w:cs="Arial"/>
        </w:rPr>
      </w:r>
      <w:r>
        <w:rPr>
          <w:rFonts w:ascii="Arial" w:hAnsi="Arial" w:cs="Arial"/>
        </w:rPr>
      </w:r>
    </w:p>
    <w:p>
      <w:pPr>
        <w:pStyle w:val="828"/>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rPr>
      </w:pPr>
      <w:r>
        <w:rPr>
          <w:rFonts w:ascii="Arial" w:hAnsi="Arial" w:cs="Arial"/>
          <w:b/>
        </w:rPr>
        <w:t xml:space="preserve">PAPEL TIMBRADO DA EMPRESA LICITANTE</w:t>
      </w:r>
      <w:r>
        <w:rPr>
          <w:rFonts w:ascii="Arial" w:hAnsi="Arial" w:cs="Arial"/>
        </w:rPr>
      </w:r>
      <w:r>
        <w:rPr>
          <w:rFonts w:ascii="Arial" w:hAnsi="Arial" w:cs="Arial"/>
        </w:rPr>
      </w:r>
    </w:p>
    <w:p>
      <w:pPr>
        <w:pStyle w:val="828"/>
        <w:pBdr/>
        <w:spacing/>
        <w:ind/>
        <w:jc w:val="both"/>
        <w:rPr>
          <w:rFonts w:ascii="Arial" w:hAnsi="Arial" w:cs="Arial"/>
          <w:b/>
          <w:color w:val="000000"/>
          <w:lang w:val="en-US"/>
        </w:rPr>
      </w:pPr>
      <w:r>
        <w:rPr>
          <w:rFonts w:ascii="Arial" w:hAnsi="Arial" w:cs="Arial"/>
          <w:b/>
          <w:color w:val="000000"/>
          <w:lang w:val="en-US"/>
        </w:rPr>
      </w:r>
      <w:r>
        <w:rPr>
          <w:rFonts w:ascii="Arial" w:hAnsi="Arial" w:cs="Arial"/>
          <w:b/>
          <w:color w:val="000000"/>
          <w:lang w:val="en-US"/>
        </w:rPr>
      </w:r>
    </w:p>
    <w:p>
      <w:pPr>
        <w:pStyle w:val="829"/>
        <w:pBdr/>
        <w:spacing w:after="0" w:before="0"/>
        <w:ind/>
        <w:rPr>
          <w:sz w:val="20"/>
          <w:szCs w:val="20"/>
          <w:lang w:val="pt-BR"/>
        </w:rPr>
      </w:pPr>
      <w:r>
        <w:rPr>
          <w:rFonts w:eastAsia="SimSun"/>
          <w:sz w:val="20"/>
          <w:szCs w:val="20"/>
          <w:lang w:val="pt-BR"/>
        </w:rPr>
        <w:t xml:space="preserve">ANEXO V: </w:t>
      </w:r>
      <w:r>
        <w:rPr>
          <w:rFonts w:eastAsia="SimSun"/>
          <w:sz w:val="20"/>
          <w:szCs w:val="20"/>
          <w:lang w:val="pt-BR"/>
        </w:rPr>
        <w:t xml:space="preserve">MODELO DE DECLARAÇÕES – PARA TODAS AS EMPRESAS</w:t>
      </w:r>
      <w:r>
        <w:rPr>
          <w:rFonts w:eastAsia="SimSun"/>
          <w:sz w:val="20"/>
          <w:szCs w:val="20"/>
          <w:lang w:val="pt-BR"/>
        </w:rPr>
        <w:t xml:space="preserve">.</w:t>
      </w:r>
      <w:r>
        <w:rPr>
          <w:sz w:val="20"/>
          <w:szCs w:val="20"/>
          <w:lang w:val="pt-BR"/>
        </w:rPr>
      </w:r>
      <w:r>
        <w:rPr>
          <w:sz w:val="20"/>
          <w:szCs w:val="20"/>
          <w:lang w:val="pt-BR"/>
        </w:rPr>
      </w:r>
    </w:p>
    <w:p>
      <w:pPr>
        <w:pStyle w:val="828"/>
        <w:pBdr/>
        <w:spacing/>
        <w:ind/>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pPr>
        <w:pStyle w:val="828"/>
        <w:pBdr/>
        <w:spacing/>
        <w:ind/>
        <w:jc w:val="both"/>
        <w:rPr>
          <w:rFonts w:ascii="Arial" w:hAnsi="Arial" w:cs="Arial"/>
        </w:rPr>
      </w:pPr>
      <w:r>
        <w:rPr>
          <w:rFonts w:ascii="Arial" w:hAnsi="Arial" w:cs="Arial"/>
          <w:b/>
          <w:color w:val="000000"/>
        </w:rPr>
        <w:t xml:space="preserve">À</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000000"/>
        </w:rPr>
        <w:t xml:space="preserve">PREFEITURA MU</w:t>
      </w:r>
      <w:r>
        <w:rPr>
          <w:rFonts w:ascii="Arial" w:hAnsi="Arial" w:cs="Arial"/>
          <w:b/>
          <w:color w:val="000000"/>
        </w:rPr>
        <w:t xml:space="preserve">NICIPAL DE RONDONÓPOLIS-MT.</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000000"/>
        </w:rPr>
        <w:t xml:space="preserve">REF.: EDITAL DE LICITAÇÃO - MODALIDADE PREGÃO </w:t>
      </w:r>
      <w:r>
        <w:rPr>
          <w:rFonts w:ascii="Arial" w:hAnsi="Arial" w:cs="Arial"/>
          <w:b/>
          <w:color w:val="000000"/>
        </w:rPr>
        <w:t xml:space="preserve">22</w:t>
      </w:r>
      <w:r>
        <w:rPr>
          <w:rFonts w:ascii="Arial" w:hAnsi="Arial" w:cs="Arial"/>
          <w:b/>
          <w:color w:val="000000"/>
        </w:rPr>
        <w:t xml:space="preserve">/</w:t>
      </w:r>
      <w:r>
        <w:rPr>
          <w:rFonts w:ascii="Arial" w:hAnsi="Arial" w:cs="Arial"/>
          <w:b/>
          <w:color w:val="000000"/>
        </w:rPr>
        <w:t xml:space="preserve">202</w:t>
      </w:r>
      <w:r>
        <w:rPr>
          <w:rFonts w:ascii="Arial" w:hAnsi="Arial" w:cs="Arial"/>
          <w:b/>
          <w:color w:val="000000"/>
        </w:rPr>
        <w:t xml:space="preserve">6</w:t>
      </w:r>
      <w:r>
        <w:rPr>
          <w:rFonts w:ascii="Arial" w:hAnsi="Arial" w:cs="Arial"/>
          <w:b/>
          <w:color w:val="000000"/>
        </w:rPr>
        <w:t xml:space="preserve">.</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color w:val="000000"/>
        </w:rPr>
        <w:t xml:space="preserve">TIPO MENO</w:t>
      </w:r>
      <w:r>
        <w:rPr>
          <w:rFonts w:ascii="Arial" w:hAnsi="Arial" w:cs="Arial"/>
          <w:b/>
          <w:color w:val="000000"/>
        </w:rPr>
        <w:t xml:space="preserve">R PREÇO POR ITEM</w:t>
      </w:r>
      <w:r>
        <w:rPr>
          <w:rFonts w:ascii="Arial" w:hAnsi="Arial" w:cs="Arial"/>
          <w:b/>
          <w:color w:val="000000"/>
        </w:rPr>
        <w:t xml:space="preserve">.</w:t>
      </w:r>
      <w:r>
        <w:rPr>
          <w:rFonts w:ascii="Arial" w:hAnsi="Arial" w:cs="Arial"/>
        </w:rPr>
      </w:r>
      <w:r>
        <w:rPr>
          <w:rFonts w:ascii="Arial" w:hAnsi="Arial" w:cs="Arial"/>
        </w:rPr>
      </w:r>
    </w:p>
    <w:p>
      <w:pPr>
        <w:pStyle w:val="828"/>
        <w:pBdr/>
        <w:spacing/>
        <w:ind/>
        <w:jc w:val="both"/>
        <w:rPr>
          <w:rFonts w:ascii="Arial" w:hAnsi="Arial" w:cs="Arial"/>
          <w:b/>
          <w:color w:val="000000"/>
        </w:rPr>
      </w:pPr>
      <w:r>
        <w:rPr>
          <w:rFonts w:ascii="Arial" w:hAnsi="Arial" w:cs="Arial"/>
          <w:b/>
          <w:color w:val="000000"/>
        </w:rPr>
      </w:r>
      <w:r>
        <w:rPr>
          <w:rFonts w:ascii="Arial" w:hAnsi="Arial" w:cs="Arial"/>
          <w:b/>
          <w:color w:val="000000"/>
        </w:rPr>
      </w:r>
    </w:p>
    <w:p>
      <w:pPr>
        <w:pStyle w:val="828"/>
        <w:pBdr/>
        <w:spacing/>
        <w:ind/>
        <w:jc w:val="both"/>
        <w:rPr>
          <w:rFonts w:ascii="Arial" w:hAnsi="Arial" w:cs="Arial"/>
        </w:rPr>
      </w:pPr>
      <w:r>
        <w:rPr>
          <w:rFonts w:ascii="Arial" w:hAnsi="Arial" w:cs="Arial"/>
        </w:rPr>
        <w:t xml:space="preserve">Ref: Edital </w:t>
      </w:r>
      <w:r>
        <w:rPr>
          <w:rFonts w:ascii="Arial" w:hAnsi="Arial" w:cs="Arial"/>
        </w:rPr>
        <w:t xml:space="preserve">do Pregão Eletrônico n° 11/2026</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A Empresa (nome da empresa) inscrita no CNPJ/MF sob n° __________ sediada na ___________________, Bairro ____________, CEP___________, Município _________________, por seu representante legal abaixo assinado, em cumprimento ao solicitado no Edital </w:t>
      </w:r>
      <w:r>
        <w:rPr>
          <w:rFonts w:ascii="Arial" w:hAnsi="Arial" w:cs="Arial"/>
        </w:rPr>
        <w:t xml:space="preserve">de Pregão Eletrônico n° 0XX/2026</w:t>
      </w:r>
      <w:r>
        <w:rPr>
          <w:rFonts w:ascii="Arial" w:hAnsi="Arial" w:cs="Arial"/>
        </w:rPr>
        <w:t xml:space="preserve">, DECLARA, sob as penas da lei que: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a)</w:t>
      </w:r>
      <w:r>
        <w:rPr>
          <w:rFonts w:ascii="Arial" w:hAnsi="Arial" w:cs="Arial"/>
        </w:rPr>
        <w:t xml:space="preserve"> Está ciente e concorda com as condiç</w:t>
      </w:r>
      <w:r>
        <w:rPr>
          <w:rFonts w:ascii="Arial" w:hAnsi="Arial" w:cs="Arial"/>
        </w:rPr>
        <w:t xml:space="preserve">ões do Edital do supracitado Pregão Eletrônico e seus anexos, bem como de que cumpre plenamente os requisitos de habilitação definidos no referido documento, para todos os efeitos legais, sob pena de aplicação das sanções cabíveis;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b)</w:t>
      </w:r>
      <w:r>
        <w:rPr>
          <w:rFonts w:ascii="Arial" w:hAnsi="Arial" w:cs="Arial"/>
        </w:rPr>
        <w:t xml:space="preserve"> Cumpre com as exigências de reserva de cargos para pessoa com deficiência e para reabilitado da Previdência Social, previstas em lei e em outras normas específicas;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c)</w:t>
      </w:r>
      <w:r>
        <w:rPr>
          <w:rFonts w:ascii="Arial" w:hAnsi="Arial" w:cs="Arial"/>
        </w:rPr>
        <w:t xml:space="preserve"> As propostas econômicas compreendem a integralidade dos custos para atendimento dos direitos trabalhistas a</w:t>
      </w:r>
      <w:r>
        <w:rPr>
          <w:rFonts w:ascii="Arial" w:hAnsi="Arial" w:cs="Arial"/>
        </w:rPr>
        <w:t xml:space="preserve">ssegurados na Constituição Federal, nas leis trabalhistas, nas normas infra legais, nas convenções coletivas de trabalho e nos termos de ajustamento de conduta vigentes na data de entrega das propostas;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d)</w:t>
      </w:r>
      <w:r>
        <w:rPr>
          <w:rFonts w:ascii="Arial" w:hAnsi="Arial" w:cs="Arial"/>
        </w:rPr>
        <w:t xml:space="preserve"> Não possui em seu quadro de pessoal e societário,</w:t>
      </w:r>
      <w:r>
        <w:rPr>
          <w:rFonts w:ascii="Arial" w:hAnsi="Arial" w:cs="Arial"/>
        </w:rPr>
        <w:t xml:space="preserve"> servidor público do Poder Executivo Estadual exercendo funções de gerência ou administração, conforme art. 1, inciso X da Lei Complementar Estadual nº 04/1990, ou servidor do Órgão/Entidade contratante em qualquer função, nos termos do art. 9º, §1º da Lei</w:t>
      </w:r>
      <w:r>
        <w:rPr>
          <w:rFonts w:ascii="Arial" w:hAnsi="Arial" w:cs="Arial"/>
        </w:rPr>
        <w:t xml:space="preserve"> Federal nº 14.133/2021;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e)</w:t>
      </w:r>
      <w:r>
        <w:rPr>
          <w:rFonts w:ascii="Arial" w:hAnsi="Arial" w:cs="Arial"/>
        </w:rPr>
        <w:t xml:space="preserve"> Não há sanções vigentes que legalmente proíbam a participante de licitar e/ou contratar com o Órgão/Entidade contratante;</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f)</w:t>
      </w:r>
      <w:r>
        <w:rPr>
          <w:rFonts w:ascii="Arial" w:hAnsi="Arial" w:cs="Arial"/>
        </w:rPr>
        <w:t xml:space="preserve"> Não possui em seu quadro de pessoal empregados (s) com menos de 18 (dezoito) anos em trabalho notu</w:t>
      </w:r>
      <w:r>
        <w:rPr>
          <w:rFonts w:ascii="Arial" w:hAnsi="Arial" w:cs="Arial"/>
        </w:rPr>
        <w:t xml:space="preserve">rno, perigoso ou insalubre, e menores de 16 (dezesseis) anos, em qualquer trabalho, salvo na condição de aprendiz, a partir de 14 (quatorze) anos, nos termos do inciso XXXIII do art. 7 º da Constituição Federal e inciso VI, artigo 68 da Lei nº 14.133/2021;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rPr>
        <w:t xml:space="preserve">g</w:t>
      </w:r>
      <w:r>
        <w:rPr>
          <w:rFonts w:ascii="Arial" w:hAnsi="Arial" w:cs="Arial"/>
          <w:b/>
        </w:rPr>
        <w:t xml:space="preserve">)</w:t>
      </w:r>
      <w:r>
        <w:rPr>
          <w:rFonts w:ascii="Arial" w:hAnsi="Arial" w:cs="Arial"/>
        </w:rPr>
        <w:t xml:space="preserve"> Não possui, em sua cadeia produtiva, empregados executando trabalho degradante ou forçado, observando o disposto nos incisos III e IV do art.1º e no inciso III do art. 5º da Constituição Federal.</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b/>
          <w:i/>
          <w:iCs/>
        </w:rPr>
        <w:t xml:space="preserve">Obs.: No caso de Microempresa e Empresa de Pequeno Porte, e MEI </w:t>
      </w:r>
      <w:r>
        <w:rPr>
          <w:rFonts w:ascii="Arial" w:hAnsi="Arial" w:cs="Arial"/>
          <w:b/>
        </w:rPr>
        <w:t xml:space="preserve">(Art 23, LC 605/2018/MT) </w:t>
      </w:r>
      <w:r>
        <w:rPr>
          <w:rFonts w:ascii="Arial" w:hAnsi="Arial" w:cs="Arial"/>
          <w:b/>
          <w:i/>
          <w:iCs/>
        </w:rPr>
        <w:t xml:space="preserve">que, nos termos da LC 123/2006, possuir alguma restrição na documentação referente à regularidade fiscal, esta deverá ser mencionada, como ressalva, na supracitada declaração.</w:t>
      </w:r>
      <w:r>
        <w:rPr>
          <w:rFonts w:ascii="Arial" w:hAnsi="Arial" w:cs="Arial"/>
        </w:rPr>
      </w:r>
      <w:r>
        <w:rPr>
          <w:rFonts w:ascii="Arial" w:hAnsi="Arial" w:cs="Arial"/>
        </w:rPr>
      </w:r>
    </w:p>
    <w:p>
      <w:pPr>
        <w:pStyle w:val="828"/>
        <w:pBdr/>
        <w:spacing/>
        <w:ind/>
        <w:jc w:val="both"/>
        <w:rPr>
          <w:rFonts w:ascii="Arial" w:hAnsi="Arial" w:cs="Arial"/>
          <w:i/>
          <w:iCs/>
        </w:rPr>
      </w:pPr>
      <w:r>
        <w:rPr>
          <w:rFonts w:ascii="Arial" w:hAnsi="Arial" w:cs="Arial"/>
          <w:i/>
          <w:iCs/>
        </w:rPr>
      </w:r>
      <w:r>
        <w:rPr>
          <w:rFonts w:ascii="Arial" w:hAnsi="Arial" w:cs="Arial"/>
          <w:i/>
          <w:iCs/>
        </w:rPr>
      </w:r>
    </w:p>
    <w:p>
      <w:pPr>
        <w:pStyle w:val="828"/>
        <w:pBdr/>
        <w:spacing/>
        <w:ind/>
        <w:jc w:val="both"/>
        <w:rPr>
          <w:rFonts w:ascii="Arial" w:hAnsi="Arial" w:cs="Arial"/>
        </w:rPr>
      </w:pPr>
      <w:r>
        <w:rPr>
          <w:rFonts w:ascii="Arial" w:hAnsi="Arial" w:cs="Arial"/>
        </w:rPr>
        <w:t xml:space="preserve">( ) Ressalva: emprega menor, a partir de quator</w:t>
      </w:r>
      <w:r>
        <w:rPr>
          <w:rFonts w:ascii="Arial" w:hAnsi="Arial" w:cs="Arial"/>
        </w:rPr>
        <w:t xml:space="preserve">ze anos, na condição de aprendiz*.</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t xml:space="preserve">XXXXXXX </w:t>
      </w:r>
      <w:r>
        <w:rPr>
          <w:rFonts w:ascii="Arial" w:hAnsi="Arial" w:cs="Arial"/>
        </w:rPr>
        <w:t xml:space="preserve">- UF, _____, ____________de 2026</w:t>
      </w:r>
      <w:r>
        <w:rPr>
          <w:rFonts w:ascii="Arial" w:hAnsi="Arial" w:cs="Arial"/>
        </w:rPr>
        <w:t xml:space="preserve">.</w:t>
      </w:r>
      <w:r>
        <w:rPr>
          <w:rFonts w:ascii="Arial" w:hAnsi="Arial" w:cs="Arial"/>
        </w:rPr>
      </w:r>
    </w:p>
    <w:p>
      <w:pPr>
        <w:pStyle w:val="828"/>
        <w:pBdr/>
        <w:spacing/>
        <w:ind/>
        <w:jc w:val="center"/>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t xml:space="preserve">----------------------------------------------------------</w:t>
      </w:r>
      <w:r>
        <w:rPr>
          <w:rFonts w:ascii="Arial" w:hAnsi="Arial" w:cs="Arial"/>
        </w:rPr>
      </w:r>
    </w:p>
    <w:p>
      <w:pPr>
        <w:pStyle w:val="828"/>
        <w:pBdr/>
        <w:spacing/>
        <w:ind/>
        <w:jc w:val="center"/>
        <w:rPr>
          <w:rFonts w:ascii="Arial" w:hAnsi="Arial" w:cs="Arial"/>
        </w:rPr>
      </w:pPr>
      <w:r>
        <w:rPr>
          <w:rFonts w:ascii="Arial" w:hAnsi="Arial" w:cs="Arial"/>
        </w:rPr>
        <w:t xml:space="preserve">CARIMBO E ASSINATURA DO REPRESENTANTE</w:t>
      </w:r>
      <w:r>
        <w:rPr>
          <w:rFonts w:ascii="Arial" w:hAnsi="Arial" w:cs="Arial"/>
        </w:rPr>
      </w:r>
    </w:p>
    <w:p>
      <w:pPr>
        <w:pStyle w:val="828"/>
        <w:pBdr/>
        <w:spacing/>
        <w:ind/>
        <w:jc w:val="center"/>
        <w:rPr>
          <w:rFonts w:ascii="Arial" w:hAnsi="Arial" w:cs="Arial"/>
        </w:rPr>
      </w:pPr>
      <w:r>
        <w:rPr>
          <w:rFonts w:ascii="Arial" w:hAnsi="Arial" w:cs="Arial"/>
        </w:rPr>
        <w:t xml:space="preserve">LEGAL DA EMPRESA</w:t>
      </w:r>
      <w:r>
        <w:rPr>
          <w:rFonts w:ascii="Arial" w:hAnsi="Arial" w:cs="Arial"/>
        </w:rPr>
      </w:r>
    </w:p>
    <w:p>
      <w:pPr>
        <w:pStyle w:val="828"/>
        <w:pBdr/>
        <w:spacing/>
        <w:ind/>
        <w:jc w:val="both"/>
        <w:rPr>
          <w:rFonts w:ascii="Arial" w:hAnsi="Arial" w:cs="Arial"/>
          <w:i/>
          <w:iCs/>
        </w:rPr>
      </w:pPr>
      <w:r>
        <w:rPr>
          <w:rFonts w:ascii="Arial" w:hAnsi="Arial" w:cs="Arial"/>
          <w:i/>
          <w:iCs/>
        </w:rPr>
      </w:r>
      <w:r>
        <w:rPr>
          <w:rFonts w:ascii="Arial" w:hAnsi="Arial" w:cs="Arial"/>
          <w:i/>
          <w:iCs/>
        </w:rPr>
      </w:r>
    </w:p>
    <w:p>
      <w:pPr>
        <w:pStyle w:val="828"/>
        <w:pBdr/>
        <w:spacing/>
        <w:ind/>
        <w:jc w:val="both"/>
        <w:rPr>
          <w:rFonts w:ascii="Arial" w:hAnsi="Arial" w:cs="Arial"/>
        </w:rPr>
      </w:pPr>
      <w:r>
        <w:rPr>
          <w:rFonts w:ascii="Arial" w:hAnsi="Arial" w:cs="Arial"/>
          <w:i/>
          <w:iCs/>
        </w:rPr>
        <w:t xml:space="preserve">* Observação: em caso afirmativo, assinalar a ressalva acima.</w:t>
      </w: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line="276" w:lineRule="auto"/>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line="276" w:lineRule="auto"/>
        <w:ind/>
        <w:jc w:val="both"/>
        <w:rPr>
          <w:rFonts w:ascii="Arial" w:hAnsi="Arial" w:cs="Arial"/>
          <w:color w:val="000000"/>
        </w:rPr>
      </w:pPr>
      <w:r>
        <w:rPr>
          <w:rFonts w:ascii="Arial" w:hAnsi="Arial" w:cs="Arial"/>
          <w:color w:val="000000"/>
        </w:rPr>
      </w:r>
      <w:r>
        <w:rPr>
          <w:rFonts w:ascii="Arial" w:hAnsi="Arial" w:cs="Arial"/>
          <w:color w:val="000000"/>
        </w:rPr>
      </w:r>
    </w:p>
    <w:p>
      <w:pPr>
        <w:pStyle w:val="828"/>
        <w:pBdr/>
        <w:spacing w:line="276" w:lineRule="auto"/>
        <w:ind/>
        <w:jc w:val="both"/>
        <w:rPr>
          <w:rFonts w:ascii="Arial" w:hAnsi="Arial" w:cs="Arial"/>
          <w:color w:val="000000"/>
        </w:rPr>
      </w:pPr>
      <w:r>
        <w:rPr>
          <w:rFonts w:ascii="Arial" w:hAnsi="Arial" w:cs="Arial"/>
          <w:color w:val="000000"/>
        </w:rPr>
      </w:r>
      <w:r>
        <w:rPr>
          <w:rFonts w:ascii="Arial" w:hAnsi="Arial" w:cs="Arial"/>
          <w:color w:val="000000"/>
        </w:rPr>
      </w:r>
    </w:p>
    <w:p>
      <w:pPr>
        <w:pStyle w:val="828"/>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rPr>
      </w:pPr>
      <w:r>
        <w:rPr>
          <w:rFonts w:ascii="Arial" w:hAnsi="Arial" w:cs="Arial"/>
          <w:b/>
        </w:rPr>
        <w:t xml:space="preserve">PAPEL TIMBRADO DA EMPRESA LICITANTE</w:t>
      </w:r>
      <w:r>
        <w:rPr>
          <w:rFonts w:ascii="Arial" w:hAnsi="Arial" w:cs="Arial"/>
        </w:rPr>
      </w:r>
      <w:r>
        <w:rPr>
          <w:rFonts w:ascii="Arial" w:hAnsi="Arial" w:cs="Arial"/>
        </w:rPr>
      </w:r>
    </w:p>
    <w:p>
      <w:pPr>
        <w:pStyle w:val="828"/>
        <w:pBdr/>
        <w:spacing w:line="276" w:lineRule="auto"/>
        <w:ind/>
        <w:jc w:val="both"/>
        <w:rPr>
          <w:rFonts w:ascii="Arial" w:hAnsi="Arial" w:cs="Arial"/>
          <w:b/>
          <w:u w:val="single"/>
        </w:rPr>
      </w:pPr>
      <w:r>
        <w:rPr>
          <w:rFonts w:ascii="Arial" w:hAnsi="Arial" w:cs="Arial"/>
          <w:b/>
          <w:u w:val="single"/>
        </w:rPr>
      </w:r>
      <w:r>
        <w:rPr>
          <w:rFonts w:ascii="Arial" w:hAnsi="Arial" w:cs="Arial"/>
          <w:b/>
          <w:u w:val="single"/>
        </w:rPr>
      </w:r>
    </w:p>
    <w:p>
      <w:pPr>
        <w:pStyle w:val="829"/>
        <w:pBdr/>
        <w:spacing w:after="0" w:before="0"/>
        <w:ind/>
        <w:rPr>
          <w:sz w:val="20"/>
          <w:szCs w:val="20"/>
          <w:lang w:val="pt-BR"/>
        </w:rPr>
      </w:pPr>
      <w:r>
        <w:rPr>
          <w:rFonts w:eastAsia="SimSun"/>
          <w:sz w:val="20"/>
          <w:szCs w:val="20"/>
          <w:lang w:val="pt-BR"/>
        </w:rPr>
        <w:t xml:space="preserve">ANEXO V</w:t>
      </w:r>
      <w:r>
        <w:rPr>
          <w:rFonts w:eastAsia="SimSun"/>
          <w:sz w:val="20"/>
          <w:szCs w:val="20"/>
          <w:lang w:val="pt-BR"/>
        </w:rPr>
        <w:t xml:space="preserve">I</w:t>
      </w:r>
      <w:r>
        <w:rPr>
          <w:rFonts w:eastAsia="SimSun"/>
          <w:sz w:val="20"/>
          <w:szCs w:val="20"/>
          <w:lang w:val="pt-BR"/>
        </w:rPr>
        <w:t xml:space="preserve">: </w:t>
      </w:r>
      <w:r>
        <w:rPr>
          <w:rFonts w:eastAsia="SimSun"/>
          <w:sz w:val="20"/>
          <w:szCs w:val="20"/>
          <w:lang w:val="pt-BR"/>
        </w:rPr>
        <w:t xml:space="preserve">DECLARAÇÃO DE ENQUADRAMENTO COMO MICROEMPRESA OU EMPRESA DE PEQUENO PORTE – APENAS PARA AS ME E EPP</w:t>
      </w:r>
      <w:r>
        <w:rPr>
          <w:rFonts w:eastAsia="SimSun"/>
          <w:sz w:val="20"/>
          <w:szCs w:val="20"/>
          <w:lang w:val="pt-BR"/>
        </w:rPr>
        <w:t xml:space="preserve">.</w:t>
      </w:r>
      <w:r>
        <w:rPr>
          <w:sz w:val="20"/>
          <w:szCs w:val="20"/>
          <w:lang w:val="pt-BR"/>
        </w:rPr>
      </w:r>
      <w:r>
        <w:rPr>
          <w:sz w:val="20"/>
          <w:szCs w:val="20"/>
          <w:lang w:val="pt-BR"/>
        </w:rPr>
      </w:r>
    </w:p>
    <w:p>
      <w:pPr>
        <w:pStyle w:val="828"/>
        <w:pBdr/>
        <w:spacing w:line="276" w:lineRule="auto"/>
        <w:ind/>
        <w:jc w:val="both"/>
        <w:rPr>
          <w:rFonts w:ascii="Arial" w:hAnsi="Arial" w:eastAsia="SimSun" w:cs="Arial"/>
          <w:b/>
          <w:u w:val="single"/>
        </w:rPr>
      </w:pPr>
      <w:r>
        <w:rPr>
          <w:rFonts w:ascii="Arial" w:hAnsi="Arial" w:eastAsia="SimSun" w:cs="Arial"/>
          <w:b/>
          <w:u w:val="single"/>
        </w:rPr>
      </w:r>
      <w:r>
        <w:rPr>
          <w:rFonts w:ascii="Arial" w:hAnsi="Arial" w:eastAsia="SimSun" w:cs="Arial"/>
          <w:b/>
          <w:u w:val="single"/>
        </w:rPr>
      </w:r>
    </w:p>
    <w:p>
      <w:pPr>
        <w:pStyle w:val="828"/>
        <w:pBdr/>
        <w:spacing/>
        <w:ind/>
        <w:jc w:val="both"/>
        <w:rPr>
          <w:rFonts w:ascii="Arial" w:hAnsi="Arial" w:cs="Arial"/>
        </w:rPr>
      </w:pPr>
      <w:r>
        <w:rPr>
          <w:rFonts w:ascii="Arial" w:hAnsi="Arial" w:cs="Arial"/>
        </w:rPr>
        <w:t xml:space="preserve">(PAPEL TIMBRADO DA EMPRESA)</w:t>
      </w:r>
      <w:r>
        <w:rPr>
          <w:rFonts w:ascii="Arial" w:hAnsi="Arial" w:cs="Arial"/>
        </w:rPr>
      </w:r>
    </w:p>
    <w:p>
      <w:pPr>
        <w:pStyle w:val="828"/>
        <w:pBdr/>
        <w:spacing/>
        <w:ind/>
        <w:jc w:val="center"/>
        <w:rPr>
          <w:rFonts w:ascii="Arial" w:hAnsi="Arial" w:cs="Arial"/>
          <w:b/>
        </w:rPr>
      </w:pPr>
      <w:r>
        <w:rPr>
          <w:rFonts w:ascii="Arial" w:hAnsi="Arial" w:cs="Arial"/>
          <w:b/>
        </w:rPr>
      </w:r>
      <w:r>
        <w:rPr>
          <w:rFonts w:ascii="Arial" w:hAnsi="Arial" w:cs="Arial"/>
          <w:b/>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A empresa................................................................</w:t>
      </w:r>
      <w:r>
        <w:rPr>
          <w:rFonts w:ascii="Arial" w:hAnsi="Arial" w:cs="Arial"/>
        </w:rPr>
        <w:t xml:space="preserve">..................., inscrita no CNPJ nº .................................................................., por intermédio de seu representante legal,........................................................</w:t>
      </w:r>
      <w:r>
        <w:rPr>
          <w:rFonts w:ascii="Arial" w:hAnsi="Arial" w:cs="Arial"/>
        </w:rPr>
        <w:t xml:space="preserve">.................................................................., CPF nº....................................................., Carteira de Identidade nº........................................, declara, para fins de participação no pregão eletrônico nº. </w:t>
      </w:r>
      <w:r>
        <w:rPr>
          <w:rFonts w:ascii="Arial" w:hAnsi="Arial" w:cs="Arial"/>
        </w:rPr>
        <w:t xml:space="preserve">XX/2026</w:t>
      </w:r>
      <w:r>
        <w:rPr>
          <w:rFonts w:ascii="Arial" w:hAnsi="Arial" w:cs="Arial"/>
        </w:rPr>
        <w:t xml:space="preserve">, sob as penas da Lei, que é considerada:</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 ) microempresa, conforme inciso I do artigo 3º da Lei Complementar nº 123/06;</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 ) empresa de pequeno porte, conforme inciso II do artigo 3º da Lei Complementar 123/06.</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Declara que a empresa está excluída das vedaçõ</w:t>
      </w:r>
      <w:r>
        <w:rPr>
          <w:rFonts w:ascii="Arial" w:hAnsi="Arial" w:cs="Arial"/>
        </w:rPr>
        <w:t xml:space="preserve">es constantes do parágrafo 4º do artigo 3º da Lei Complementar nº 123/06 e que caso seja declarada vencedora do certame, promoveremos a regularização de eventuais defeitos ou restrições existentes na documentação exigida para efeito de regularidade fiscal.</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Declara que no ano-calendário de re</w:t>
      </w:r>
      <w:r>
        <w:rPr>
          <w:rFonts w:ascii="Arial" w:hAnsi="Arial" w:cs="Arial"/>
        </w:rPr>
        <w:t xml:space="preserve">alização desta licitação, os valores somados dos contratos celebrados com a Administração Pública, não extrapolam a receita bruta máxima admitida para fins de enquadramento como empresa de pequeno porte, nos termos do art. 4º, § 2º da Lei nº 14.133/2021.</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t xml:space="preserve">XXXXXX, ..... de ..</w:t>
      </w:r>
      <w:r>
        <w:rPr>
          <w:rFonts w:ascii="Arial" w:hAnsi="Arial" w:cs="Arial"/>
        </w:rPr>
        <w:t xml:space="preserve">.........................de 2026</w:t>
      </w:r>
      <w:r>
        <w:rPr>
          <w:rFonts w:ascii="Arial" w:hAnsi="Arial" w:cs="Arial"/>
        </w:rPr>
        <w:t xml:space="preserve">.</w:t>
      </w:r>
      <w:r>
        <w:rPr>
          <w:rFonts w:ascii="Arial" w:hAnsi="Arial" w:cs="Arial"/>
        </w:rPr>
      </w:r>
    </w:p>
    <w:p>
      <w:pPr>
        <w:pStyle w:val="828"/>
        <w:pBdr/>
        <w:spacing/>
        <w:ind/>
        <w:jc w:val="center"/>
        <w:rPr>
          <w:rFonts w:ascii="Arial" w:hAnsi="Arial" w:cs="Arial"/>
        </w:rPr>
      </w:pPr>
      <w:r>
        <w:rPr>
          <w:rFonts w:ascii="Arial" w:hAnsi="Arial" w:cs="Arial"/>
        </w:rPr>
        <w:t xml:space="preserve">(assinatura representante legal)</w:t>
      </w:r>
      <w:r>
        <w:rPr>
          <w:rFonts w:ascii="Arial" w:hAnsi="Arial" w:cs="Arial"/>
        </w:rPr>
      </w:r>
    </w:p>
    <w:p>
      <w:pPr>
        <w:pStyle w:val="828"/>
        <w:pBdr/>
        <w:spacing/>
        <w:ind/>
        <w:jc w:val="center"/>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Nota: A falsidade desta DECLARAÇÃO, objetivando os benefícios da Lei Complementar nº 123/2006, caracterizará crime de que trata o Art. 299 do Código Penal, sem prejuízo</w:t>
      </w:r>
      <w:r>
        <w:rPr>
          <w:rFonts w:ascii="Arial" w:hAnsi="Arial" w:cs="Arial"/>
        </w:rPr>
        <w:t xml:space="preserve"> do enquadramento em outras figuras penais e das penalidades previstas neste Edital.</w:t>
      </w:r>
      <w:r>
        <w:rPr>
          <w:rFonts w:ascii="Arial" w:hAnsi="Arial" w:cs="Arial"/>
        </w:rPr>
      </w:r>
    </w:p>
    <w:p>
      <w:pPr>
        <w:pStyle w:val="828"/>
        <w:pBdr/>
        <w:spacing/>
        <w:ind/>
        <w:jc w:val="both"/>
        <w:rPr>
          <w:rFonts w:ascii="Arial" w:hAnsi="Arial" w:cs="Arial"/>
        </w:rPr>
      </w:pPr>
      <w:r>
        <w:rPr>
          <w:rFonts w:ascii="Arial" w:hAnsi="Arial" w:cs="Arial"/>
        </w:rPr>
        <w:t xml:space="preserve">Departamento de Compras.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rPr>
      </w:pPr>
      <w:r>
        <w:rPr>
          <w:rFonts w:ascii="Arial" w:hAnsi="Arial" w:cs="Arial"/>
          <w:b/>
        </w:rPr>
        <w:t xml:space="preserve">PAPEL TIMBRADO DA EMPRESA LICITANTE</w:t>
      </w:r>
      <w:r>
        <w:rPr>
          <w:rFonts w:ascii="Arial" w:hAnsi="Arial" w:cs="Arial"/>
        </w:rPr>
      </w:r>
      <w:r>
        <w:rPr>
          <w:rFonts w:ascii="Arial" w:hAnsi="Arial" w:cs="Arial"/>
        </w:rPr>
      </w:r>
    </w:p>
    <w:p>
      <w:pPr>
        <w:pStyle w:val="828"/>
        <w:pBdr/>
        <w:spacing w:line="276" w:lineRule="auto"/>
        <w:ind/>
        <w:jc w:val="both"/>
        <w:rPr>
          <w:rFonts w:ascii="Arial" w:hAnsi="Arial" w:cs="Arial"/>
          <w:b/>
          <w:u w:val="single"/>
        </w:rPr>
      </w:pPr>
      <w:r>
        <w:rPr>
          <w:rFonts w:ascii="Arial" w:hAnsi="Arial" w:cs="Arial"/>
          <w:b/>
          <w:u w:val="single"/>
        </w:rPr>
      </w:r>
      <w:r>
        <w:rPr>
          <w:rFonts w:ascii="Arial" w:hAnsi="Arial" w:cs="Arial"/>
          <w:b/>
          <w:u w:val="single"/>
        </w:rPr>
      </w:r>
    </w:p>
    <w:p>
      <w:pPr>
        <w:pStyle w:val="829"/>
        <w:pBdr/>
        <w:spacing w:after="0" w:before="0"/>
        <w:ind/>
        <w:rPr>
          <w:sz w:val="20"/>
          <w:szCs w:val="20"/>
          <w:lang w:val="pt-BR"/>
        </w:rPr>
      </w:pPr>
      <w:r>
        <w:rPr>
          <w:rFonts w:eastAsia="SimSun"/>
          <w:sz w:val="20"/>
          <w:szCs w:val="20"/>
          <w:lang w:val="pt-BR"/>
        </w:rPr>
        <w:t xml:space="preserve">ANEXO VII: FICHA DE ATUALIZAÇÃO CADASTRAL.</w:t>
      </w:r>
      <w:r>
        <w:rPr>
          <w:sz w:val="20"/>
          <w:szCs w:val="20"/>
          <w:lang w:val="pt-BR"/>
        </w:rPr>
      </w:r>
      <w:r>
        <w:rPr>
          <w:sz w:val="20"/>
          <w:szCs w:val="20"/>
          <w:lang w:val="pt-BR"/>
        </w:rPr>
      </w:r>
    </w:p>
    <w:p>
      <w:pPr>
        <w:pStyle w:val="828"/>
        <w:pBdr/>
        <w:spacing w:line="276" w:lineRule="auto"/>
        <w:ind/>
        <w:jc w:val="both"/>
        <w:rPr>
          <w:rFonts w:ascii="Arial" w:hAnsi="Arial" w:eastAsia="SimSun" w:cs="Arial"/>
          <w:b/>
          <w:u w:val="single"/>
        </w:rPr>
      </w:pPr>
      <w:r>
        <w:rPr>
          <w:rFonts w:ascii="Arial" w:hAnsi="Arial" w:eastAsia="SimSun" w:cs="Arial"/>
          <w:b/>
          <w:u w:val="single"/>
        </w:rPr>
      </w:r>
      <w:r>
        <w:rPr>
          <w:rFonts w:ascii="Arial" w:hAnsi="Arial" w:eastAsia="SimSun" w:cs="Arial"/>
          <w:b/>
          <w:u w:val="single"/>
        </w:rPr>
      </w:r>
    </w:p>
    <w:p>
      <w:pPr>
        <w:pStyle w:val="828"/>
        <w:pBdr/>
        <w:spacing w:line="276" w:lineRule="auto"/>
        <w:ind/>
        <w:jc w:val="both"/>
        <w:rPr>
          <w:rFonts w:ascii="Arial" w:hAnsi="Arial" w:cs="Arial"/>
        </w:rPr>
      </w:pPr>
      <w:r>
        <w:rPr>
          <w:rFonts w:ascii="Arial" w:hAnsi="Arial" w:cs="Arial"/>
          <w:b/>
          <w:u w:val="single"/>
        </w:rPr>
        <w:t xml:space="preserve">TODAS AS EMPRESAS INTERESSADAS EM PARTICIPAR DO PRESENTE CERTAME LICITATÓRIO DEVERÃO IMPRETERIVELMENTE PREENCHER A FICHA CADASTRAL DEVIDAMENTE ACOMPANHADA DOS DOCUMENTOS ABAIXO E ENCAMINHAR ATRAVÉS DO EMAIL:</w:t>
      </w:r>
      <w:r>
        <w:rPr>
          <w:rFonts w:ascii="Arial" w:hAnsi="Arial" w:cs="Arial"/>
          <w:b/>
        </w:rPr>
        <w:t xml:space="preserve"> </w:t>
      </w:r>
      <w:r>
        <w:rPr>
          <w:rFonts w:ascii="Arial" w:hAnsi="Arial" w:cs="Arial"/>
        </w:rPr>
        <w:fldChar w:fldCharType="begin"/>
      </w:r>
      <w:r>
        <w:rPr>
          <w:rFonts w:ascii="Arial" w:hAnsi="Arial" w:cs="Arial"/>
        </w:rPr>
        <w:instrText xml:space="preserve"> HYPERLINK "mailto: </w:instrText>
      </w:r>
      <w:r>
        <w:rPr>
          <w:rFonts w:ascii="Arial" w:hAnsi="Arial" w:cs="Arial"/>
          <w:b/>
        </w:rPr>
        <w:instrText xml:space="preserve">pmrroo@hotmail.com</w:instrText>
      </w:r>
      <w:r>
        <w:rPr>
          <w:rFonts w:ascii="Arial" w:hAnsi="Arial" w:cs="Arial"/>
        </w:rPr>
        <w:instrText xml:space="preserve">" </w:instrText>
      </w:r>
      <w:r>
        <w:rPr>
          <w:rFonts w:ascii="Arial" w:hAnsi="Arial" w:cs="Arial"/>
        </w:rPr>
        <w:fldChar w:fldCharType="separate"/>
      </w:r>
      <w:r>
        <w:rPr>
          <w:rStyle w:val="900"/>
          <w:rFonts w:ascii="Arial" w:hAnsi="Arial" w:cs="Arial"/>
          <w:color w:val="000000"/>
        </w:rPr>
        <w:t xml:space="preserve"> </w:t>
      </w:r>
      <w:r>
        <w:rPr>
          <w:rStyle w:val="900"/>
          <w:rFonts w:ascii="Arial" w:hAnsi="Arial" w:cs="Arial"/>
          <w:b/>
          <w:color w:val="000000"/>
        </w:rPr>
        <w:t xml:space="preserve">pmrroo@hotmail.com</w:t>
      </w:r>
      <w:r>
        <w:rPr>
          <w:rFonts w:ascii="Arial" w:hAnsi="Arial" w:cs="Arial"/>
        </w:rPr>
        <w:fldChar w:fldCharType="end"/>
      </w:r>
      <w:r>
        <w:rPr>
          <w:rFonts w:ascii="Arial" w:hAnsi="Arial" w:cs="Arial"/>
        </w:rPr>
        <w:t xml:space="preserve"> ou entregar pessoalmente </w:t>
      </w:r>
      <w:r>
        <w:rPr>
          <w:rFonts w:ascii="Arial" w:hAnsi="Arial" w:cs="Arial"/>
        </w:rPr>
        <w:t xml:space="preserve">na Prefeitura de Rondonópolis – Secretaria de Administração - Setor de Licitações. A referida solicitação visa atualizar os cadastros já existentes, e incluir novos cadastros de empresas ainda não cadastradas em nosso sistema. </w:t>
      </w:r>
      <w:r>
        <w:rPr>
          <w:rFonts w:ascii="Arial" w:hAnsi="Arial" w:cs="Arial"/>
        </w:rPr>
      </w:r>
    </w:p>
    <w:tbl>
      <w:tblPr>
        <w:tblInd w:w="108"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2977"/>
        <w:gridCol w:w="851"/>
        <w:gridCol w:w="871"/>
        <w:gridCol w:w="321"/>
        <w:gridCol w:w="509"/>
        <w:gridCol w:w="744"/>
        <w:gridCol w:w="1211"/>
        <w:gridCol w:w="313"/>
        <w:gridCol w:w="42"/>
        <w:gridCol w:w="2084"/>
      </w:tblGrid>
      <w:tr>
        <w:trPr/>
        <w:tc>
          <w:tcPr>
            <w:gridSpan w:val="10"/>
            <w:tcBorders>
              <w:top w:val="single" w:color="000000" w:sz="4" w:space="0"/>
              <w:left w:val="single" w:color="000000" w:sz="4" w:space="0"/>
              <w:bottom w:val="single" w:color="000000" w:sz="4" w:space="0"/>
              <w:right w:val="single" w:color="000000" w:sz="4" w:space="0"/>
            </w:tcBorders>
            <w:tcW w:w="9923" w:type="dxa"/>
            <w:vAlign w:val="top"/>
            <w:textDirection w:val="lrTb"/>
            <w:noWrap w:val="false"/>
          </w:tcPr>
          <w:p>
            <w:pPr>
              <w:pStyle w:val="828"/>
              <w:pBdr/>
              <w:spacing w:line="360" w:lineRule="auto"/>
              <w:ind/>
              <w:rPr>
                <w:rFonts w:ascii="Arial" w:hAnsi="Arial" w:cs="Arial"/>
              </w:rPr>
            </w:pPr>
            <w:r>
              <w:rPr>
                <w:rFonts w:ascii="Arial" w:hAnsi="Arial" w:cs="Arial"/>
              </w:rPr>
              <w:t xml:space="preserve">RAZÃO SOCIAL DA EMPRESA:</w:t>
            </w:r>
            <w:r>
              <w:rPr>
                <w:rFonts w:ascii="Arial" w:hAnsi="Arial" w:cs="Arial"/>
              </w:rPr>
            </w:r>
          </w:p>
        </w:tc>
      </w:tr>
      <w:tr>
        <w:trPr/>
        <w:tc>
          <w:tcPr>
            <w:gridSpan w:val="6"/>
            <w:tcBorders>
              <w:top w:val="single" w:color="000000" w:sz="4" w:space="0"/>
              <w:left w:val="single" w:color="000000" w:sz="4" w:space="0"/>
              <w:bottom w:val="single" w:color="000000" w:sz="4" w:space="0"/>
              <w:right w:val="single" w:color="000000" w:sz="4" w:space="0"/>
            </w:tcBorders>
            <w:tcW w:w="6273" w:type="dxa"/>
            <w:vAlign w:val="top"/>
            <w:textDirection w:val="lrTb"/>
            <w:noWrap w:val="false"/>
          </w:tcPr>
          <w:p>
            <w:pPr>
              <w:pStyle w:val="828"/>
              <w:pBdr/>
              <w:spacing w:line="360" w:lineRule="auto"/>
              <w:ind/>
              <w:rPr>
                <w:rFonts w:ascii="Arial" w:hAnsi="Arial" w:cs="Arial"/>
              </w:rPr>
            </w:pPr>
            <w:r>
              <w:rPr>
                <w:rFonts w:ascii="Arial" w:hAnsi="Arial" w:cs="Arial"/>
              </w:rPr>
              <w:t xml:space="preserve">NOME FANTASIA:</w:t>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3650" w:type="dxa"/>
            <w:vAlign w:val="top"/>
            <w:textDirection w:val="lrTb"/>
            <w:noWrap w:val="false"/>
          </w:tcPr>
          <w:p>
            <w:pPr>
              <w:pStyle w:val="828"/>
              <w:pBdr/>
              <w:spacing w:line="360" w:lineRule="auto"/>
              <w:ind/>
              <w:rPr>
                <w:rFonts w:ascii="Arial" w:hAnsi="Arial" w:cs="Arial"/>
              </w:rPr>
            </w:pPr>
            <w:r>
              <w:rPr>
                <w:rFonts w:ascii="Arial" w:hAnsi="Arial" w:cs="Arial"/>
              </w:rPr>
              <w:t xml:space="preserve">CNPJ Nº</w:t>
            </w:r>
            <w:r>
              <w:rPr>
                <w:rFonts w:ascii="Arial" w:hAnsi="Arial" w:cs="Arial"/>
              </w:rPr>
            </w:r>
          </w:p>
        </w:tc>
      </w:tr>
      <w:tr>
        <w:trPr/>
        <w:tc>
          <w:tcPr>
            <w:gridSpan w:val="3"/>
            <w:tcBorders>
              <w:top w:val="single" w:color="000000" w:sz="4" w:space="0"/>
              <w:left w:val="single" w:color="000000" w:sz="4" w:space="0"/>
              <w:bottom w:val="single" w:color="000000" w:sz="4" w:space="0"/>
              <w:right w:val="single" w:color="000000" w:sz="4" w:space="0"/>
            </w:tcBorders>
            <w:tcW w:w="4699" w:type="dxa"/>
            <w:vAlign w:val="top"/>
            <w:textDirection w:val="lrTb"/>
            <w:noWrap w:val="false"/>
          </w:tcPr>
          <w:p>
            <w:pPr>
              <w:pStyle w:val="828"/>
              <w:pBdr/>
              <w:spacing w:line="360" w:lineRule="auto"/>
              <w:ind/>
              <w:rPr>
                <w:rFonts w:ascii="Arial" w:hAnsi="Arial" w:cs="Arial"/>
              </w:rPr>
            </w:pPr>
            <w:r>
              <w:rPr>
                <w:rFonts w:ascii="Arial" w:hAnsi="Arial" w:cs="Arial"/>
              </w:rPr>
              <w:t xml:space="preserve">INSCRIÇÃO ESTADUAL:</w:t>
            </w:r>
            <w:r>
              <w:rPr>
                <w:rFonts w:ascii="Arial" w:hAnsi="Arial" w:cs="Arial"/>
              </w:rPr>
            </w:r>
          </w:p>
        </w:tc>
        <w:tc>
          <w:tcPr>
            <w:gridSpan w:val="7"/>
            <w:tcBorders>
              <w:top w:val="single" w:color="000000" w:sz="4" w:space="0"/>
              <w:left w:val="single" w:color="000000" w:sz="4" w:space="0"/>
              <w:bottom w:val="single" w:color="000000" w:sz="4" w:space="0"/>
              <w:right w:val="single" w:color="000000" w:sz="4" w:space="0"/>
            </w:tcBorders>
            <w:tcW w:w="5224" w:type="dxa"/>
            <w:vAlign w:val="top"/>
            <w:textDirection w:val="lrTb"/>
            <w:noWrap w:val="false"/>
          </w:tcPr>
          <w:p>
            <w:pPr>
              <w:pStyle w:val="828"/>
              <w:pBdr/>
              <w:spacing w:line="360" w:lineRule="auto"/>
              <w:ind/>
              <w:rPr>
                <w:rFonts w:ascii="Arial" w:hAnsi="Arial" w:cs="Arial"/>
              </w:rPr>
            </w:pPr>
            <w:r>
              <w:rPr>
                <w:rFonts w:ascii="Arial" w:hAnsi="Arial" w:cs="Arial"/>
              </w:rPr>
              <w:t xml:space="preserve">INSCRIÇÃO MUNICIPAL:</w:t>
            </w:r>
            <w:r>
              <w:rPr>
                <w:rFonts w:ascii="Arial" w:hAnsi="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vAlign w:val="top"/>
            <w:textDirection w:val="lrTb"/>
            <w:noWrap w:val="false"/>
          </w:tcPr>
          <w:p>
            <w:pPr>
              <w:pStyle w:val="828"/>
              <w:pBdr/>
              <w:spacing w:line="360" w:lineRule="auto"/>
              <w:ind/>
              <w:rPr>
                <w:rFonts w:ascii="Arial" w:hAnsi="Arial" w:cs="Arial"/>
              </w:rPr>
            </w:pPr>
            <w:r>
              <w:rPr>
                <w:rFonts w:ascii="Arial" w:hAnsi="Arial" w:cs="Arial"/>
              </w:rPr>
              <w:t xml:space="preserve">ENQUADRAMENTO DA EMPRESA: ME(  )  EPP(  ) NENHUMA. OPTANTE DO SIMPLES: SIM(  ) NÃO(  )</w:t>
            </w:r>
            <w:r>
              <w:rPr>
                <w:rFonts w:ascii="Arial" w:hAnsi="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vAlign w:val="top"/>
            <w:textDirection w:val="lrTb"/>
            <w:noWrap w:val="false"/>
          </w:tcPr>
          <w:p>
            <w:pPr>
              <w:pStyle w:val="828"/>
              <w:pBdr/>
              <w:spacing w:line="360" w:lineRule="auto"/>
              <w:ind/>
              <w:rPr>
                <w:rFonts w:ascii="Arial" w:hAnsi="Arial" w:cs="Arial"/>
              </w:rPr>
            </w:pPr>
            <w:r>
              <w:rPr>
                <w:rFonts w:ascii="Arial" w:hAnsi="Arial" w:cs="Arial"/>
              </w:rPr>
              <w:t xml:space="preserve">ENDEREÇO:</w:t>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5020" w:type="dxa"/>
            <w:vAlign w:val="top"/>
            <w:textDirection w:val="lrTb"/>
            <w:noWrap w:val="false"/>
          </w:tcPr>
          <w:p>
            <w:pPr>
              <w:pStyle w:val="828"/>
              <w:pBdr/>
              <w:spacing w:line="360" w:lineRule="auto"/>
              <w:ind/>
              <w:rPr>
                <w:rFonts w:ascii="Arial" w:hAnsi="Arial" w:cs="Arial"/>
              </w:rPr>
            </w:pPr>
            <w:r>
              <w:rPr>
                <w:rFonts w:ascii="Arial" w:hAnsi="Arial" w:cs="Arial"/>
              </w:rPr>
              <w:t xml:space="preserve">BAIRRO:</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464" w:type="dxa"/>
            <w:vAlign w:val="top"/>
            <w:textDirection w:val="lrTb"/>
            <w:noWrap w:val="false"/>
          </w:tcPr>
          <w:p>
            <w:pPr>
              <w:pStyle w:val="828"/>
              <w:pBdr/>
              <w:spacing w:line="360" w:lineRule="auto"/>
              <w:ind/>
              <w:rPr>
                <w:rFonts w:ascii="Arial" w:hAnsi="Arial" w:cs="Arial"/>
              </w:rPr>
            </w:pPr>
            <w:r>
              <w:rPr>
                <w:rFonts w:ascii="Arial" w:hAnsi="Arial" w:cs="Arial"/>
              </w:rPr>
              <w:t xml:space="preserve">FONE:</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439" w:type="dxa"/>
            <w:vAlign w:val="top"/>
            <w:textDirection w:val="lrTb"/>
            <w:noWrap w:val="false"/>
          </w:tcPr>
          <w:p>
            <w:pPr>
              <w:pStyle w:val="828"/>
              <w:pBdr/>
              <w:spacing w:line="360" w:lineRule="auto"/>
              <w:ind/>
              <w:rPr>
                <w:rFonts w:ascii="Arial" w:hAnsi="Arial" w:cs="Arial"/>
              </w:rPr>
            </w:pPr>
            <w:r>
              <w:rPr>
                <w:rFonts w:ascii="Arial" w:hAnsi="Arial" w:cs="Arial"/>
              </w:rPr>
              <w:t xml:space="preserve">FAX:</w:t>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5020" w:type="dxa"/>
            <w:vAlign w:val="top"/>
            <w:textDirection w:val="lrTb"/>
            <w:noWrap w:val="false"/>
          </w:tcPr>
          <w:p>
            <w:pPr>
              <w:pStyle w:val="828"/>
              <w:pBdr/>
              <w:spacing w:line="360" w:lineRule="auto"/>
              <w:ind/>
              <w:rPr>
                <w:rFonts w:ascii="Arial" w:hAnsi="Arial" w:cs="Arial"/>
              </w:rPr>
            </w:pPr>
            <w:r>
              <w:rPr>
                <w:rFonts w:ascii="Arial" w:hAnsi="Arial" w:cs="Arial"/>
              </w:rPr>
              <w:t xml:space="preserve">MUNICÍPIO:</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464" w:type="dxa"/>
            <w:vAlign w:val="top"/>
            <w:textDirection w:val="lrTb"/>
            <w:noWrap w:val="false"/>
          </w:tcPr>
          <w:p>
            <w:pPr>
              <w:pStyle w:val="828"/>
              <w:pBdr/>
              <w:spacing w:line="360" w:lineRule="auto"/>
              <w:ind/>
              <w:rPr>
                <w:rFonts w:ascii="Arial" w:hAnsi="Arial" w:cs="Arial"/>
              </w:rPr>
            </w:pPr>
            <w:r>
              <w:rPr>
                <w:rFonts w:ascii="Arial" w:hAnsi="Arial" w:cs="Arial"/>
              </w:rPr>
              <w:t xml:space="preserve">U.F.</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439" w:type="dxa"/>
            <w:vAlign w:val="top"/>
            <w:textDirection w:val="lrTb"/>
            <w:noWrap w:val="false"/>
          </w:tcPr>
          <w:p>
            <w:pPr>
              <w:pStyle w:val="828"/>
              <w:pBdr/>
              <w:spacing w:line="360" w:lineRule="auto"/>
              <w:ind/>
              <w:rPr>
                <w:rFonts w:ascii="Arial" w:hAnsi="Arial" w:cs="Arial"/>
              </w:rPr>
            </w:pPr>
            <w:r>
              <w:rPr>
                <w:rFonts w:ascii="Arial" w:hAnsi="Arial" w:cs="Arial"/>
              </w:rPr>
              <w:t xml:space="preserve">CEP:</w:t>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5020" w:type="dxa"/>
            <w:vAlign w:val="top"/>
            <w:textDirection w:val="lrTb"/>
            <w:noWrap w:val="false"/>
          </w:tcPr>
          <w:p>
            <w:pPr>
              <w:pStyle w:val="828"/>
              <w:pBdr/>
              <w:spacing w:line="360" w:lineRule="auto"/>
              <w:ind/>
              <w:rPr>
                <w:rFonts w:ascii="Arial" w:hAnsi="Arial" w:cs="Arial"/>
              </w:rPr>
            </w:pPr>
            <w:r>
              <w:rPr>
                <w:rFonts w:ascii="Arial" w:hAnsi="Arial" w:cs="Arial"/>
              </w:rPr>
              <w:t xml:space="preserve">NOME DO RESPONSÁVEL PARA CONTATO:</w:t>
            </w:r>
            <w:r>
              <w:rPr>
                <w:rFonts w:ascii="Arial" w:hAnsi="Arial" w:cs="Arial"/>
              </w:rPr>
            </w:r>
          </w:p>
        </w:tc>
        <w:tc>
          <w:tcPr>
            <w:gridSpan w:val="6"/>
            <w:tcBorders>
              <w:top w:val="single" w:color="000000" w:sz="4" w:space="0"/>
              <w:left w:val="single" w:color="000000" w:sz="4" w:space="0"/>
              <w:bottom w:val="single" w:color="000000" w:sz="4" w:space="0"/>
              <w:right w:val="single" w:color="000000" w:sz="4" w:space="0"/>
            </w:tcBorders>
            <w:tcW w:w="4903" w:type="dxa"/>
            <w:vAlign w:val="top"/>
            <w:textDirection w:val="lrTb"/>
            <w:noWrap w:val="false"/>
          </w:tcPr>
          <w:p>
            <w:pPr>
              <w:pStyle w:val="828"/>
              <w:pBdr/>
              <w:spacing w:line="360" w:lineRule="auto"/>
              <w:ind/>
              <w:rPr>
                <w:rFonts w:ascii="Arial" w:hAnsi="Arial" w:cs="Arial"/>
              </w:rPr>
            </w:pPr>
            <w:r>
              <w:rPr>
                <w:rFonts w:ascii="Arial" w:hAnsi="Arial" w:cs="Arial"/>
              </w:rPr>
              <w:t xml:space="preserve">CARGO OU FUNÇÃO N</w:t>
            </w:r>
            <w:r>
              <w:rPr>
                <w:rFonts w:ascii="Arial" w:hAnsi="Arial" w:cs="Arial"/>
              </w:rPr>
              <w:t xml:space="preserve">A EMPRESA:</w:t>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5020"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c>
          <w:tcPr>
            <w:gridSpan w:val="6"/>
            <w:tcBorders>
              <w:top w:val="single" w:color="000000" w:sz="4" w:space="0"/>
              <w:left w:val="single" w:color="000000" w:sz="4" w:space="0"/>
              <w:bottom w:val="single" w:color="000000" w:sz="4" w:space="0"/>
              <w:right w:val="single" w:color="000000" w:sz="4" w:space="0"/>
            </w:tcBorders>
            <w:tcW w:w="4903"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r>
      <w:tr>
        <w:trPr/>
        <w:tc>
          <w:tcPr>
            <w:tcBorders>
              <w:top w:val="single" w:color="000000" w:sz="4" w:space="0"/>
              <w:left w:val="single" w:color="000000" w:sz="4" w:space="0"/>
              <w:bottom w:val="single" w:color="000000" w:sz="4" w:space="0"/>
              <w:right w:val="single" w:color="000000" w:sz="4" w:space="0"/>
            </w:tcBorders>
            <w:tcW w:w="2977" w:type="dxa"/>
            <w:vAlign w:val="top"/>
            <w:textDirection w:val="lrTb"/>
            <w:noWrap w:val="false"/>
          </w:tcPr>
          <w:p>
            <w:pPr>
              <w:pStyle w:val="828"/>
              <w:pBdr/>
              <w:spacing w:line="360" w:lineRule="auto"/>
              <w:ind/>
              <w:rPr>
                <w:rFonts w:ascii="Arial" w:hAnsi="Arial" w:cs="Arial"/>
              </w:rPr>
            </w:pPr>
            <w:r>
              <w:rPr>
                <w:rFonts w:ascii="Arial" w:hAnsi="Arial" w:cs="Arial"/>
              </w:rPr>
              <w:t xml:space="preserve">TELEFONE:</w:t>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552" w:type="dxa"/>
            <w:vAlign w:val="top"/>
            <w:textDirection w:val="lrTb"/>
            <w:noWrap w:val="false"/>
          </w:tcPr>
          <w:p>
            <w:pPr>
              <w:pStyle w:val="828"/>
              <w:pBdr/>
              <w:spacing w:line="360" w:lineRule="auto"/>
              <w:ind/>
              <w:rPr>
                <w:rFonts w:ascii="Arial" w:hAnsi="Arial" w:cs="Arial"/>
              </w:rPr>
            </w:pPr>
            <w:r>
              <w:rPr>
                <w:rFonts w:ascii="Arial" w:hAnsi="Arial" w:cs="Arial"/>
              </w:rPr>
              <w:t xml:space="preserve">CELULAR:</w:t>
            </w:r>
            <w:r>
              <w:rPr>
                <w:rFonts w:ascii="Arial" w:hAnsi="Arial" w:cs="Arial"/>
              </w:rPr>
            </w:r>
          </w:p>
        </w:tc>
        <w:tc>
          <w:tcPr>
            <w:gridSpan w:val="5"/>
            <w:tcBorders>
              <w:top w:val="single" w:color="000000" w:sz="4" w:space="0"/>
              <w:left w:val="single" w:color="000000" w:sz="4" w:space="0"/>
              <w:bottom w:val="single" w:color="000000" w:sz="4" w:space="0"/>
              <w:right w:val="single" w:color="000000" w:sz="4" w:space="0"/>
            </w:tcBorders>
            <w:tcW w:w="4394" w:type="dxa"/>
            <w:vAlign w:val="top"/>
            <w:textDirection w:val="lrTb"/>
            <w:noWrap w:val="false"/>
          </w:tcPr>
          <w:p>
            <w:pPr>
              <w:pStyle w:val="828"/>
              <w:pBdr/>
              <w:spacing w:line="360" w:lineRule="auto"/>
              <w:ind/>
              <w:rPr>
                <w:rFonts w:ascii="Arial" w:hAnsi="Arial" w:cs="Arial"/>
              </w:rPr>
            </w:pPr>
            <w:r>
              <w:rPr>
                <w:rFonts w:ascii="Arial" w:hAnsi="Arial" w:cs="Arial"/>
              </w:rPr>
              <w:t xml:space="preserve">E-MAIL:</w:t>
            </w:r>
            <w:r>
              <w:rPr>
                <w:rFonts w:ascii="Arial" w:hAnsi="Arial" w:cs="Arial"/>
              </w:rPr>
            </w:r>
          </w:p>
        </w:tc>
      </w:tr>
      <w:tr>
        <w:trPr/>
        <w:tc>
          <w:tcPr>
            <w:tcBorders>
              <w:top w:val="single" w:color="000000" w:sz="4" w:space="0"/>
              <w:left w:val="single" w:color="000000" w:sz="4" w:space="0"/>
              <w:bottom w:val="single" w:color="000000" w:sz="4" w:space="0"/>
              <w:right w:val="single" w:color="000000" w:sz="4" w:space="0"/>
            </w:tcBorders>
            <w:tcW w:w="2977"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552"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c>
          <w:tcPr>
            <w:gridSpan w:val="5"/>
            <w:tcBorders>
              <w:top w:val="single" w:color="000000" w:sz="4" w:space="0"/>
              <w:left w:val="single" w:color="000000" w:sz="4" w:space="0"/>
              <w:bottom w:val="single" w:color="000000" w:sz="4" w:space="0"/>
              <w:right w:val="single" w:color="000000" w:sz="4" w:space="0"/>
            </w:tcBorders>
            <w:tcW w:w="4394"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529" w:type="dxa"/>
            <w:vAlign w:val="top"/>
            <w:textDirection w:val="lrTb"/>
            <w:noWrap w:val="false"/>
          </w:tcPr>
          <w:p>
            <w:pPr>
              <w:pStyle w:val="828"/>
              <w:pBdr/>
              <w:spacing w:line="360" w:lineRule="auto"/>
              <w:ind/>
              <w:rPr>
                <w:rFonts w:ascii="Arial" w:hAnsi="Arial" w:cs="Arial"/>
              </w:rPr>
            </w:pPr>
            <w:r>
              <w:rPr>
                <w:rFonts w:ascii="Arial" w:hAnsi="Arial" w:cs="Arial"/>
              </w:rPr>
              <w:t xml:space="preserve">SÓCIO(S) NOME(S): </w:t>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310" w:type="dxa"/>
            <w:vAlign w:val="top"/>
            <w:textDirection w:val="lrTb"/>
            <w:noWrap w:val="false"/>
          </w:tcPr>
          <w:p>
            <w:pPr>
              <w:pStyle w:val="828"/>
              <w:pBdr/>
              <w:spacing w:line="360" w:lineRule="auto"/>
              <w:ind/>
              <w:rPr>
                <w:rFonts w:ascii="Arial" w:hAnsi="Arial" w:cs="Arial"/>
              </w:rPr>
            </w:pPr>
            <w:r>
              <w:rPr>
                <w:rFonts w:ascii="Arial" w:hAnsi="Arial" w:cs="Arial"/>
              </w:rPr>
              <w:t xml:space="preserve">CPF Nº:</w:t>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084" w:type="dxa"/>
            <w:vAlign w:val="top"/>
            <w:textDirection w:val="lrTb"/>
            <w:noWrap w:val="false"/>
          </w:tcPr>
          <w:p>
            <w:pPr>
              <w:pStyle w:val="828"/>
              <w:pBdr/>
              <w:spacing w:line="360" w:lineRule="auto"/>
              <w:ind/>
              <w:rPr>
                <w:rFonts w:ascii="Arial" w:hAnsi="Arial" w:cs="Arial"/>
              </w:rPr>
            </w:pPr>
            <w:r>
              <w:rPr>
                <w:rFonts w:ascii="Arial" w:hAnsi="Arial" w:cs="Arial"/>
              </w:rPr>
              <w:t xml:space="preserve">NACIONALIDADE:</w:t>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529"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310"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084"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529"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310"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084"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529"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310"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084" w:type="dxa"/>
            <w:vAlign w:val="top"/>
            <w:textDirection w:val="lrTb"/>
            <w:noWrap w:val="false"/>
          </w:tcPr>
          <w:p>
            <w:pPr>
              <w:pStyle w:val="828"/>
              <w:pBdr/>
              <w:spacing w:line="360" w:lineRule="auto"/>
              <w:ind/>
              <w:rPr>
                <w:rFonts w:ascii="Arial" w:hAnsi="Arial" w:cs="Arial"/>
              </w:rPr>
            </w:pPr>
            <w:r>
              <w:rPr>
                <w:rFonts w:ascii="Arial" w:hAnsi="Arial" w:cs="Arial"/>
              </w:rPr>
            </w:r>
            <w:r>
              <w:rPr>
                <w:rFonts w:ascii="Arial" w:hAnsi="Arial" w:cs="Arial"/>
              </w:rPr>
            </w:r>
          </w:p>
        </w:tc>
      </w:tr>
      <w:tr>
        <w:trPr>
          <w:trHeight w:val="383"/>
        </w:trPr>
        <w:tc>
          <w:tcPr>
            <w:gridSpan w:val="10"/>
            <w:tcBorders>
              <w:top w:val="single" w:color="000000" w:sz="4" w:space="0"/>
              <w:left w:val="single" w:color="000000" w:sz="4" w:space="0"/>
              <w:bottom w:val="single" w:color="000000" w:sz="4" w:space="0"/>
              <w:right w:val="single" w:color="000000" w:sz="4" w:space="0"/>
            </w:tcBorders>
            <w:tcW w:w="9923" w:type="dxa"/>
            <w:vAlign w:val="bottom"/>
            <w:textDirection w:val="lrTb"/>
            <w:noWrap w:val="false"/>
          </w:tcPr>
          <w:p>
            <w:pPr>
              <w:pStyle w:val="828"/>
              <w:pBdr/>
              <w:spacing/>
              <w:ind/>
              <w:rPr>
                <w:rFonts w:ascii="Arial" w:hAnsi="Arial" w:cs="Arial"/>
              </w:rPr>
            </w:pPr>
            <w:r>
              <w:rPr>
                <w:rFonts w:ascii="Arial" w:hAnsi="Arial" w:cs="Arial"/>
              </w:rPr>
              <w:t xml:space="preserve">DATA DE REGISTRO DA EMPRESA NA JUNTA COMERCIAL: ____/____/______</w:t>
            </w:r>
            <w:r>
              <w:rPr>
                <w:rFonts w:ascii="Arial" w:hAnsi="Arial" w:cs="Arial"/>
              </w:rPr>
            </w:r>
          </w:p>
        </w:tc>
      </w:tr>
      <w:tr>
        <w:trPr>
          <w:trHeight w:val="417"/>
        </w:trPr>
        <w:tc>
          <w:tcPr>
            <w:gridSpan w:val="2"/>
            <w:tcBorders>
              <w:top w:val="single" w:color="000000" w:sz="4" w:space="0"/>
              <w:left w:val="single" w:color="000000" w:sz="4" w:space="0"/>
              <w:bottom w:val="single" w:color="000000" w:sz="4" w:space="0"/>
              <w:right w:val="single" w:color="000000" w:sz="4" w:space="0"/>
            </w:tcBorders>
            <w:tcW w:w="3828" w:type="dxa"/>
            <w:vAlign w:val="bottom"/>
            <w:textDirection w:val="lrTb"/>
            <w:noWrap w:val="false"/>
          </w:tcPr>
          <w:p>
            <w:pPr>
              <w:pStyle w:val="828"/>
              <w:pBdr/>
              <w:spacing/>
              <w:ind/>
              <w:rPr>
                <w:rFonts w:ascii="Arial" w:hAnsi="Arial" w:cs="Arial"/>
              </w:rPr>
            </w:pPr>
            <w:r>
              <w:rPr>
                <w:rFonts w:ascii="Arial" w:hAnsi="Arial" w:cs="Arial"/>
              </w:rPr>
              <w:t xml:space="preserve">CONTA CORRENTE Nº:</w:t>
            </w:r>
            <w:r>
              <w:rPr>
                <w:rFonts w:ascii="Arial" w:hAnsi="Arial" w:cs="Arial"/>
              </w:rPr>
            </w:r>
          </w:p>
        </w:tc>
        <w:tc>
          <w:tcPr>
            <w:gridSpan w:val="6"/>
            <w:tcBorders>
              <w:top w:val="single" w:color="000000" w:sz="4" w:space="0"/>
              <w:left w:val="single" w:color="000000" w:sz="4" w:space="0"/>
              <w:bottom w:val="single" w:color="000000" w:sz="4" w:space="0"/>
              <w:right w:val="single" w:color="000000" w:sz="4" w:space="0"/>
            </w:tcBorders>
            <w:tcW w:w="3969" w:type="dxa"/>
            <w:vAlign w:val="bottom"/>
            <w:textDirection w:val="lrTb"/>
            <w:noWrap w:val="false"/>
          </w:tcPr>
          <w:p>
            <w:pPr>
              <w:pStyle w:val="828"/>
              <w:pBdr/>
              <w:spacing/>
              <w:ind/>
              <w:rPr>
                <w:rFonts w:ascii="Arial" w:hAnsi="Arial" w:cs="Arial"/>
              </w:rPr>
            </w:pPr>
            <w:r>
              <w:rPr>
                <w:rFonts w:ascii="Arial" w:hAnsi="Arial" w:cs="Arial"/>
              </w:rPr>
              <w:t xml:space="preserve">NOME DO BANCO:</w:t>
            </w:r>
            <w:r>
              <w:rPr>
                <w:rFonts w:ascii="Arial" w:hAnsi="Arial" w:cs="Arial"/>
              </w:rPr>
            </w:r>
          </w:p>
        </w:tc>
        <w:tc>
          <w:tcPr>
            <w:gridSpan w:val="2"/>
            <w:tcBorders>
              <w:top w:val="single" w:color="000000" w:sz="4" w:space="0"/>
              <w:left w:val="single" w:color="000000" w:sz="4" w:space="0"/>
              <w:bottom w:val="single" w:color="000000" w:sz="4" w:space="0"/>
              <w:right w:val="single" w:color="000000" w:sz="4" w:space="0"/>
            </w:tcBorders>
            <w:tcW w:w="2126" w:type="dxa"/>
            <w:vAlign w:val="bottom"/>
            <w:textDirection w:val="lrTb"/>
            <w:noWrap w:val="false"/>
          </w:tcPr>
          <w:p>
            <w:pPr>
              <w:pStyle w:val="828"/>
              <w:pBdr/>
              <w:spacing/>
              <w:ind/>
              <w:rPr>
                <w:rFonts w:ascii="Arial" w:hAnsi="Arial" w:cs="Arial"/>
              </w:rPr>
            </w:pPr>
            <w:r>
              <w:rPr>
                <w:rFonts w:ascii="Arial" w:hAnsi="Arial" w:cs="Arial"/>
              </w:rPr>
              <w:t xml:space="preserve">AGENCIA Nº:</w:t>
            </w:r>
            <w:r>
              <w:rPr>
                <w:rFonts w:ascii="Arial" w:hAnsi="Arial" w:cs="Arial"/>
              </w:rPr>
            </w:r>
          </w:p>
        </w:tc>
      </w:tr>
    </w:tbl>
    <w:p>
      <w:pPr>
        <w:pStyle w:val="828"/>
        <w:pBdr/>
        <w:spacing w:line="360" w:lineRule="auto"/>
        <w:ind/>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t xml:space="preserve">AUTORIZAÇÃO</w:t>
      </w:r>
      <w:r>
        <w:rPr>
          <w:rFonts w:ascii="Arial" w:hAnsi="Arial" w:cs="Arial"/>
        </w:rPr>
      </w:r>
    </w:p>
    <w:p>
      <w:pPr>
        <w:pStyle w:val="828"/>
        <w:pBdr/>
        <w:spacing/>
        <w:ind/>
        <w:jc w:val="center"/>
        <w:rPr>
          <w:rFonts w:ascii="Arial" w:hAnsi="Arial" w:cs="Arial"/>
        </w:rPr>
      </w:pPr>
      <w:r>
        <w:rPr>
          <w:rFonts w:ascii="Arial" w:hAnsi="Arial" w:cs="Arial"/>
        </w:rPr>
      </w:r>
      <w:r>
        <w:rPr>
          <w:rFonts w:ascii="Arial" w:hAnsi="Arial" w:cs="Arial"/>
        </w:rPr>
      </w:r>
    </w:p>
    <w:p>
      <w:pPr>
        <w:pStyle w:val="828"/>
        <w:pBdr/>
        <w:spacing/>
        <w:ind/>
        <w:jc w:val="both"/>
        <w:rPr>
          <w:rFonts w:ascii="Arial" w:hAnsi="Arial" w:cs="Arial"/>
        </w:rPr>
      </w:pPr>
      <w:r>
        <w:rPr>
          <w:rFonts w:ascii="Arial" w:hAnsi="Arial" w:cs="Arial"/>
        </w:rPr>
        <w:t xml:space="preserve">Autorizo o depósito na conta corrente acima especificada, dos valores de vendas e ou serviços a serem oferecidos para Prefeitura Municipal de Rondonópolis.</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ind/>
        <w:jc w:val="center"/>
        <w:rPr>
          <w:rFonts w:ascii="Arial" w:hAnsi="Arial" w:cs="Arial"/>
        </w:rPr>
      </w:pPr>
      <w:r>
        <w:rPr>
          <w:rFonts w:ascii="Arial" w:hAnsi="Arial" w:cs="Arial"/>
        </w:rPr>
        <w:t xml:space="preserve">____________________________________________</w:t>
      </w:r>
      <w:r>
        <w:rPr>
          <w:rFonts w:ascii="Arial" w:hAnsi="Arial" w:cs="Arial"/>
        </w:rPr>
      </w:r>
    </w:p>
    <w:p>
      <w:pPr>
        <w:pStyle w:val="828"/>
        <w:pBdr/>
        <w:spacing/>
        <w:ind/>
        <w:jc w:val="both"/>
        <w:rPr>
          <w:rFonts w:ascii="Arial" w:hAnsi="Arial" w:cs="Arial"/>
        </w:rPr>
      </w:pPr>
      <w:r>
        <w:rPr>
          <w:rFonts w:ascii="Arial" w:hAnsi="Arial" w:eastAsia="Arial" w:cs="Arial"/>
        </w:rPr>
        <w:t xml:space="preserve">                                                                </w:t>
      </w:r>
      <w:r>
        <w:rPr>
          <w:rFonts w:ascii="Arial" w:hAnsi="Arial" w:cs="Arial"/>
        </w:rPr>
        <w:t xml:space="preserve">Sócio/Proprietári</w:t>
      </w:r>
      <w:r>
        <w:rPr>
          <w:rFonts w:ascii="Arial" w:hAnsi="Arial" w:cs="Arial"/>
        </w:rPr>
        <w:t xml:space="preserve">o</w:t>
      </w:r>
      <w:r>
        <w:rPr>
          <w:rFonts w:ascii="Arial" w:hAnsi="Arial" w:cs="Arial"/>
        </w:rPr>
      </w:r>
    </w:p>
    <w:p>
      <w:pPr>
        <w:pStyle w:val="828"/>
        <w:pBdr/>
        <w:spacing/>
        <w:ind/>
        <w:jc w:val="both"/>
        <w:rPr>
          <w:rFonts w:ascii="Arial" w:hAnsi="Arial" w:cs="Arial"/>
        </w:rPr>
      </w:pPr>
      <w:r>
        <w:rPr>
          <w:rFonts w:ascii="Arial" w:hAnsi="Arial" w:cs="Arial"/>
        </w:rPr>
      </w:r>
      <w:r>
        <w:rPr>
          <w:rFonts w:ascii="Arial" w:hAnsi="Arial" w:cs="Arial"/>
        </w:rPr>
      </w:r>
    </w:p>
    <w:p>
      <w:pPr>
        <w:pStyle w:val="828"/>
        <w:pBdr/>
        <w:spacing w:line="276" w:lineRule="auto"/>
        <w:ind/>
        <w:jc w:val="both"/>
        <w:rPr>
          <w:rFonts w:ascii="Arial" w:hAnsi="Arial" w:cs="Arial"/>
        </w:rPr>
      </w:pPr>
      <w:r>
        <w:rPr>
          <w:rFonts w:ascii="Arial" w:hAnsi="Arial" w:cs="Arial"/>
        </w:rPr>
        <w:t xml:space="preserve">01 – CONTRATO SOCIAL CONSTANDO O OBJETO E A ÚLTIMA ALTERAÇÃO;</w:t>
      </w:r>
      <w:r>
        <w:rPr>
          <w:rFonts w:ascii="Arial" w:hAnsi="Arial" w:cs="Arial"/>
        </w:rPr>
      </w:r>
    </w:p>
    <w:p>
      <w:pPr>
        <w:pStyle w:val="828"/>
        <w:pBdr/>
        <w:spacing w:line="276" w:lineRule="auto"/>
        <w:ind/>
        <w:jc w:val="both"/>
        <w:rPr>
          <w:rFonts w:ascii="Arial" w:hAnsi="Arial" w:cs="Arial"/>
        </w:rPr>
      </w:pPr>
      <w:r>
        <w:rPr>
          <w:rFonts w:ascii="Arial" w:hAnsi="Arial" w:cs="Arial"/>
        </w:rPr>
        <w:t xml:space="preserve">02 – ALVARÁ DE LOCALIZAÇÃO EM VIGÊNCIA;</w:t>
      </w:r>
      <w:r>
        <w:rPr>
          <w:rFonts w:ascii="Arial" w:hAnsi="Arial" w:cs="Arial"/>
        </w:rPr>
      </w:r>
    </w:p>
    <w:p>
      <w:pPr>
        <w:pStyle w:val="828"/>
        <w:pBdr/>
        <w:spacing w:line="276" w:lineRule="auto"/>
        <w:ind/>
        <w:jc w:val="both"/>
        <w:rPr>
          <w:rFonts w:ascii="Arial" w:hAnsi="Arial" w:cs="Arial"/>
        </w:rPr>
      </w:pPr>
      <w:r>
        <w:rPr>
          <w:rFonts w:ascii="Arial" w:hAnsi="Arial" w:cs="Arial"/>
        </w:rPr>
        <w:t xml:space="preserve">03 – CARTÃO DO CNPJ; </w:t>
      </w:r>
      <w:r>
        <w:rPr>
          <w:rFonts w:ascii="Arial" w:hAnsi="Arial" w:cs="Arial"/>
        </w:rPr>
      </w:r>
    </w:p>
    <w:p>
      <w:pPr>
        <w:pStyle w:val="828"/>
        <w:pBdr/>
        <w:spacing w:line="276" w:lineRule="auto"/>
        <w:ind/>
        <w:jc w:val="both"/>
        <w:rPr>
          <w:rFonts w:ascii="Arial" w:hAnsi="Arial" w:cs="Arial"/>
        </w:rPr>
      </w:pPr>
      <w:r>
        <w:rPr>
          <w:rFonts w:ascii="Arial" w:hAnsi="Arial" w:cs="Arial"/>
        </w:rPr>
        <w:t xml:space="preserve">04 – CARTÃO DE INSCRIÇÃO ESTADUAL;</w:t>
      </w:r>
      <w:r>
        <w:rPr>
          <w:rFonts w:ascii="Arial" w:hAnsi="Arial" w:cs="Arial"/>
        </w:rPr>
      </w:r>
    </w:p>
    <w:p>
      <w:pPr>
        <w:pStyle w:val="828"/>
        <w:pBdr/>
        <w:spacing w:line="276" w:lineRule="auto"/>
        <w:ind/>
        <w:jc w:val="both"/>
        <w:rPr>
          <w:rFonts w:ascii="Arial" w:hAnsi="Arial" w:cs="Arial"/>
        </w:rPr>
      </w:pPr>
      <w:r>
        <w:rPr>
          <w:rFonts w:ascii="Arial" w:hAnsi="Arial" w:cs="Arial"/>
        </w:rPr>
        <w:t xml:space="preserve">05 – DOCUMENTOS PESSOAIS DOS SÓCIOS</w:t>
      </w:r>
      <w:r>
        <w:rPr>
          <w:rFonts w:ascii="Arial" w:hAnsi="Arial" w:cs="Arial"/>
        </w:rPr>
      </w:r>
    </w:p>
    <w:p>
      <w:pPr>
        <w:pStyle w:val="828"/>
        <w:pBdr/>
        <w:spacing w:line="276" w:lineRule="auto"/>
        <w:ind/>
        <w:jc w:val="both"/>
        <w:rPr>
          <w:rFonts w:ascii="Arial" w:hAnsi="Arial" w:cs="Arial"/>
        </w:rPr>
      </w:pPr>
      <w:r>
        <w:rPr>
          <w:rFonts w:ascii="Arial" w:hAnsi="Arial" w:cs="Arial"/>
        </w:rPr>
        <w:t xml:space="preserve">06 – DOCUMENTO QUE COMPROVE OS DADOS BANCÁRIOS (EX. CARTÃO ELETRÔNICO).</w:t>
      </w:r>
      <w:r>
        <w:rPr>
          <w:rFonts w:ascii="Arial" w:hAnsi="Arial" w:cs="Arial"/>
        </w:rPr>
      </w:r>
    </w:p>
    <w:p>
      <w:pPr>
        <w:pStyle w:val="828"/>
        <w:pBdr/>
        <w:spacing/>
        <w:ind/>
        <w:jc w:val="both"/>
        <w:rPr>
          <w:rFonts w:ascii="Arial" w:hAnsi="Arial" w:cs="Arial"/>
        </w:rPr>
      </w:pPr>
      <w:r>
        <w:rPr>
          <w:rFonts w:ascii="Arial" w:hAnsi="Arial" w:cs="Arial"/>
        </w:rPr>
        <w:t xml:space="preserve">Observação: As cópias dos documentos solicitados não serão devolvidas, pois as mesmas serão arquivadas, no Departamento de Compras</w:t>
      </w:r>
      <w:r>
        <w:rPr>
          <w:rFonts w:ascii="Arial" w:hAnsi="Arial" w:cs="Arial"/>
        </w:rPr>
      </w:r>
    </w:p>
    <w:sectPr>
      <w:headerReference w:type="default" r:id="rId9"/>
      <w:footerReference w:type="default" r:id="rId10"/>
      <w:footnotePr/>
      <w:endnotePr/>
      <w:type w:val="nextPage"/>
      <w:pgSz w:h="16838" w:orient="portrait" w:w="11906"/>
      <w:pgMar w:top="720" w:right="720" w:bottom="720" w:left="720" w:header="142"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font>
  <w:font w:name="NSimSun">
    <w:panose1 w:val="02010609030101010101"/>
  </w:font>
  <w:font w:name="Helvetica">
    <w:panose1 w:val="020B0604020202020204"/>
  </w:font>
  <w:font w:name="SimSun">
    <w:panose1 w:val="02010600030101010101"/>
  </w:font>
  <w:font w:name="Calibri">
    <w:panose1 w:val="020F0502020204030204"/>
  </w:font>
  <w:font w:name="Tahoma">
    <w:panose1 w:val="020B0604030504040204"/>
  </w:font>
  <w:font w:name="MS Mincho">
    <w:panose1 w:val="02020503050405090304"/>
  </w:font>
  <w:font w:name="Aptos Narrow">
    <w:panose1 w:val="05040102010807070707"/>
  </w:font>
  <w:font w:name="Ecofont_Spranq_eco_Sans">
    <w:panose1 w:val="05040102010807070707"/>
  </w:font>
  <w:font w:name="Symbol">
    <w:panose1 w:val="05050102010706020507"/>
  </w:font>
  <w:font w:name="Courier New">
    <w:panose1 w:val="02070309020205020404"/>
  </w:font>
  <w:font w:name="Lucida Sans">
    <w:panose1 w:val="020B0602030504020204"/>
  </w:font>
  <w:font w:name="Wingdings">
    <w:panose1 w:val="05000000000000000000"/>
  </w:font>
  <w:font w:name="Liberation Sans">
    <w:panose1 w:val="020B0604020202020204"/>
  </w:font>
  <w:font w:name="MS Gothic">
    <w:panose1 w:val="020B0609070205080204"/>
  </w:font>
  <w:font w:name="Calibri Light">
    <w:panose1 w:val="020F0302020204030204"/>
  </w:font>
  <w:font w:name="Liberation Serif">
    <w:panose1 w:val="02020603050405020304"/>
  </w:font>
  <w:font w:name="SimHei">
    <w:panose1 w:val="02010609060101010101"/>
  </w:font>
  <w:font w:name="Times New Roman">
    <w:panose1 w:val="02020603050405020304"/>
  </w:font>
  <w:font w:name="Microsoft YaHei">
    <w:panose1 w:val="020B0503020204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8"/>
      <w:pBdr/>
      <w:spacing/>
      <w:ind/>
      <w:jc w:val="right"/>
      <w:rPr/>
    </w:pPr>
    <w:r>
      <w:fldChar w:fldCharType="begin"/>
    </w:r>
    <w:r>
      <w:instrText xml:space="preserve"> PAGE </w:instrText>
    </w:r>
    <w:r>
      <w:fldChar w:fldCharType="separate"/>
    </w:r>
    <w:r>
      <w:t xml:space="preserve">98</w:t>
    </w:r>
    <w:r>
      <w:fldChar w:fldCharType="end"/>
    </w:r>
    <w:r/>
  </w:p>
  <w:p>
    <w:pPr>
      <w:pStyle w:val="968"/>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Ind w:w="0" w:type="dxa"/>
      <w:tblW w:w="18643" w:type="dxa"/>
      <w:tblCellMar>
        <w:left w:w="108" w:type="dxa"/>
        <w:top w:w="0" w:type="dxa"/>
        <w:right w:w="108" w:type="dxa"/>
        <w:bottom w:w="0" w:type="dxa"/>
      </w:tblCellMar>
      <w:tblBorders/>
      <w:tblLayout w:type="fixed"/>
      <w:tblLook w:val="04A0" w:firstRow="1" w:lastRow="0" w:firstColumn="1" w:lastColumn="0" w:noHBand="0" w:noVBand="1"/>
    </w:tblPr>
    <w:tblGrid>
      <w:gridCol w:w="250"/>
      <w:gridCol w:w="3969"/>
      <w:gridCol w:w="6095"/>
      <w:gridCol w:w="5356"/>
      <w:gridCol w:w="2973"/>
    </w:tblGrid>
    <w:tr>
      <w:trPr>
        <w:trHeight w:val="1438"/>
      </w:trPr>
      <w:tc>
        <w:tcPr>
          <w:tcBorders>
            <w:top w:val="none" w:color="auto" w:sz="0" w:space="0"/>
            <w:left w:val="none" w:color="auto" w:sz="0" w:space="0"/>
            <w:bottom w:val="none" w:color="auto" w:sz="0" w:space="0"/>
            <w:right w:val="none" w:color="auto" w:sz="0" w:space="0"/>
          </w:tcBorders>
          <w:tcW w:w="250" w:type="dxa"/>
          <w:vAlign w:val="center"/>
          <w:textDirection w:val="lrTb"/>
          <w:noWrap w:val="false"/>
        </w:tcPr>
        <w:p>
          <w:pPr>
            <w:pStyle w:val="967"/>
            <w:pBdr/>
            <w:tabs>
              <w:tab w:val="right" w:leader="none" w:pos="9360"/>
            </w:tabs>
            <w:spacing/>
            <w:ind/>
            <w:jc w:val="center"/>
            <w:rPr>
              <w:rFonts w:ascii="Arial" w:hAnsi="Arial" w:cs="Arial"/>
              <w:b/>
              <w:smallCaps/>
              <w:color w:val="002060"/>
            </w:rPr>
          </w:pPr>
          <w:r>
            <w:rPr>
              <w:rFonts w:ascii="Arial" w:hAnsi="Arial" w:cs="Arial"/>
              <w:b/>
              <w:smallCaps/>
              <w:color w:val="002060"/>
            </w:rPr>
          </w:r>
          <w:r>
            <w:rPr>
              <w:rFonts w:ascii="Arial" w:hAnsi="Arial" w:cs="Arial"/>
              <w:b/>
              <w:smallCaps/>
              <w:color w:val="002060"/>
            </w:rPr>
          </w:r>
        </w:p>
      </w:tc>
      <w:tc>
        <w:tcPr>
          <w:tcBorders>
            <w:top w:val="none" w:color="auto" w:sz="0" w:space="0"/>
            <w:left w:val="none" w:color="auto" w:sz="0" w:space="0"/>
            <w:bottom w:val="none" w:color="auto" w:sz="0" w:space="0"/>
            <w:right w:val="none" w:color="auto" w:sz="0" w:space="0"/>
          </w:tcBorders>
          <w:tcW w:w="3969" w:type="dxa"/>
          <w:vAlign w:val="center"/>
          <w:textDirection w:val="lrTb"/>
          <w:noWrap w:val="false"/>
        </w:tcPr>
        <w:p>
          <w:pPr>
            <w:pStyle w:val="967"/>
            <w:pBdr/>
            <w:tabs>
              <w:tab w:val="left" w:leader="none" w:pos="34"/>
              <w:tab w:val="right" w:leader="none" w:pos="9360"/>
            </w:tabs>
            <w:spacing/>
            <w:ind/>
            <w:rPr>
              <w:rFonts w:ascii="Arial" w:hAnsi="Arial" w:eastAsia="Arial" w:cs="Arial"/>
              <w:b/>
              <w:smallCaps/>
            </w:rPr>
          </w:pPr>
          <w:r>
            <w:rPr>
              <w:rFonts w:ascii="Helvetica" w:hAnsi="Helvetica" w:cs="Arial"/>
              <w:smallCaps/>
            </w:rPr>
            <mc:AlternateContent>
              <mc:Choice Requires="wpg">
                <w:drawing>
                  <wp:inline xmlns:wp="http://schemas.openxmlformats.org/drawingml/2006/wordprocessingDrawing" distT="0" distB="0" distL="0" distR="0">
                    <wp:extent cx="2382114" cy="838059"/>
                    <wp:effectExtent l="0" t="0" r="0" b="0"/>
                    <wp:docPr id="1" name="_x0000_i102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rotWithShape="1">
                            <a:blip r:embed="rId1"/>
                            <a:srcRect l="-26" t="-101" r="-25" b="-100"/>
                            <a:stretch/>
                          </pic:blipFill>
                          <pic:spPr bwMode="auto">
                            <a:xfrm>
                              <a:off x="0" y="0"/>
                              <a:ext cx="2382114" cy="838059"/>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87.57pt;height:65.99pt;mso-wrap-distance-left:0.00pt;mso-wrap-distance-top:0.00pt;mso-wrap-distance-right:0.00pt;mso-wrap-distance-bottom:0.00pt;z-index:1;" stroked="false">
                    <v:imagedata r:id="rId1" o:title="" croptop="-65f" cropleft="-16f" cropbottom="-65f" cropright="-15f"/>
                    <o:lock v:ext="edit" rotation="t"/>
                  </v:shape>
                </w:pict>
              </mc:Fallback>
            </mc:AlternateContent>
          </w:r>
          <w:r>
            <w:rPr>
              <w:rFonts w:ascii="Arial" w:hAnsi="Arial" w:eastAsia="Arial" w:cs="Arial"/>
              <w:b/>
              <w:smallCaps/>
            </w:rPr>
          </w:r>
          <w:r>
            <w:rPr>
              <w:rFonts w:ascii="Arial" w:hAnsi="Arial" w:eastAsia="Arial" w:cs="Arial"/>
              <w:b/>
              <w:smallCaps/>
            </w:rPr>
          </w:r>
        </w:p>
      </w:tc>
      <w:tc>
        <w:tcPr>
          <w:tcBorders>
            <w:top w:val="none" w:color="auto" w:sz="0" w:space="0"/>
            <w:left w:val="none" w:color="auto" w:sz="0" w:space="0"/>
            <w:bottom w:val="none" w:color="auto" w:sz="0" w:space="0"/>
            <w:right w:val="none" w:color="auto" w:sz="0" w:space="0"/>
          </w:tcBorders>
          <w:tcW w:w="6095" w:type="dxa"/>
          <w:vAlign w:val="center"/>
          <w:textDirection w:val="lrTb"/>
          <w:noWrap w:val="false"/>
        </w:tcPr>
        <w:p>
          <w:pPr>
            <w:pStyle w:val="828"/>
            <w:pBdr/>
            <w:spacing w:line="276" w:lineRule="auto"/>
            <w:ind w:right="-1178"/>
            <w:jc w:val="both"/>
            <w:rPr/>
          </w:pPr>
          <w:r>
            <w:rPr>
              <w:rFonts w:ascii="Arial" w:hAnsi="Arial" w:eastAsia="Arial" w:cs="Arial"/>
              <w:b/>
              <w:smallCaps/>
            </w:rPr>
            <w:t xml:space="preserve">     </w:t>
          </w:r>
          <w:r>
            <w:rPr>
              <w:rFonts w:ascii="Arial" w:hAnsi="Arial" w:cs="Arial"/>
              <w:b/>
              <w:smallCaps/>
            </w:rPr>
            <w:t xml:space="preserve">Estado de Mato Grosso</w:t>
          </w:r>
          <w:r/>
        </w:p>
        <w:p>
          <w:pPr>
            <w:pStyle w:val="828"/>
            <w:pBdr/>
            <w:spacing w:line="276" w:lineRule="auto"/>
            <w:ind w:right="-1178" w:hanging="283" w:left="500"/>
            <w:jc w:val="both"/>
            <w:rPr/>
          </w:pPr>
          <w:r>
            <w:rPr>
              <w:rFonts w:ascii="Arial" w:hAnsi="Arial" w:cs="Arial"/>
              <w:b/>
              <w:smallCaps/>
            </w:rPr>
            <w:t xml:space="preserve">Município de Rondonópolis</w:t>
          </w:r>
          <w:r/>
        </w:p>
        <w:p>
          <w:pPr>
            <w:pStyle w:val="828"/>
            <w:pBdr/>
            <w:spacing w:line="276" w:lineRule="auto"/>
            <w:ind w:right="-1178" w:hanging="283" w:left="500"/>
            <w:jc w:val="both"/>
            <w:rPr/>
          </w:pPr>
          <w:r>
            <w:rPr>
              <w:rFonts w:ascii="Arial" w:hAnsi="Arial" w:cs="Arial"/>
              <w:b/>
              <w:smallCaps/>
            </w:rPr>
            <w:t xml:space="preserve">Secretaria Municipal de Administração, Gestão e Inovação</w:t>
          </w:r>
          <w:r/>
        </w:p>
        <w:p>
          <w:pPr>
            <w:pStyle w:val="828"/>
            <w:pBdr/>
            <w:spacing w:line="276" w:lineRule="auto"/>
            <w:ind w:right="-1178" w:hanging="283" w:left="500"/>
            <w:jc w:val="both"/>
            <w:rPr/>
          </w:pPr>
          <w:r>
            <w:rPr>
              <w:rFonts w:ascii="Arial" w:hAnsi="Arial" w:cs="Arial"/>
              <w:b/>
              <w:smallCaps/>
            </w:rPr>
            <w:t xml:space="preserve">Superintendência de Compras e </w:t>
          </w:r>
          <w:r>
            <w:rPr>
              <w:rFonts w:ascii="Arial" w:hAnsi="Arial" w:cs="Arial"/>
              <w:b/>
              <w:smallCaps/>
            </w:rPr>
            <w:t xml:space="preserve">Licitações (P.E</w:t>
          </w:r>
          <w:r>
            <w:rPr>
              <w:rFonts w:ascii="Arial" w:hAnsi="Arial" w:cs="Arial"/>
              <w:b/>
              <w:smallCaps/>
            </w:rPr>
            <w:t xml:space="preserve">. 2</w:t>
          </w:r>
          <w:r>
            <w:rPr>
              <w:rFonts w:ascii="Arial" w:hAnsi="Arial" w:cs="Arial"/>
              <w:b/>
              <w:smallCaps/>
            </w:rPr>
            <w:t xml:space="preserve">2</w:t>
          </w:r>
          <w:r>
            <w:rPr>
              <w:rFonts w:ascii="Arial" w:hAnsi="Arial" w:cs="Arial"/>
              <w:b/>
              <w:smallCaps/>
            </w:rPr>
            <w:t xml:space="preserve">/2026</w:t>
          </w:r>
          <w:r>
            <w:rPr>
              <w:rFonts w:ascii="Arial" w:hAnsi="Arial" w:cs="Arial"/>
              <w:b/>
              <w:smallCaps/>
            </w:rPr>
            <w:t xml:space="preserve">)</w:t>
          </w:r>
          <w:r/>
        </w:p>
      </w:tc>
      <w:tc>
        <w:tcPr>
          <w:tcBorders>
            <w:top w:val="none" w:color="auto" w:sz="0" w:space="0"/>
            <w:left w:val="none" w:color="auto" w:sz="0" w:space="0"/>
            <w:bottom w:val="none" w:color="auto" w:sz="0" w:space="0"/>
            <w:right w:val="none" w:color="auto" w:sz="0" w:space="0"/>
          </w:tcBorders>
          <w:tcW w:w="5356" w:type="dxa"/>
          <w:vAlign w:val="center"/>
          <w:textDirection w:val="lrTb"/>
          <w:noWrap w:val="false"/>
        </w:tcPr>
        <w:p>
          <w:pPr>
            <w:pStyle w:val="828"/>
            <w:pBdr/>
            <w:spacing/>
            <w:ind/>
            <w:rPr>
              <w:color w:val="002060"/>
            </w:rPr>
          </w:pPr>
          <w:r>
            <w:rPr>
              <w:color w:val="002060"/>
            </w:rPr>
          </w:r>
          <w:r>
            <w:rPr>
              <w:color w:val="002060"/>
            </w:rPr>
          </w:r>
        </w:p>
      </w:tc>
      <w:tc>
        <w:tcPr>
          <w:tcBorders>
            <w:top w:val="none" w:color="auto" w:sz="0" w:space="0"/>
            <w:left w:val="none" w:color="auto" w:sz="0" w:space="0"/>
            <w:bottom w:val="none" w:color="auto" w:sz="0" w:space="0"/>
            <w:right w:val="none" w:color="auto" w:sz="0" w:space="0"/>
          </w:tcBorders>
          <w:tcW w:w="2973" w:type="dxa"/>
          <w:vAlign w:val="center"/>
          <w:textDirection w:val="lrTb"/>
          <w:noWrap w:val="false"/>
        </w:tcPr>
        <w:p>
          <w:pPr>
            <w:pStyle w:val="967"/>
            <w:pBdr/>
            <w:tabs>
              <w:tab w:val="right" w:leader="none" w:pos="9360"/>
            </w:tabs>
            <w:spacing/>
            <w:ind/>
            <w:jc w:val="center"/>
            <w:rPr>
              <w:rFonts w:ascii="Helvetica" w:hAnsi="Helvetica" w:cs="Helvetica"/>
              <w:smallCaps/>
              <w:color w:val="002060"/>
              <w:lang w:val="pt-BR"/>
            </w:rPr>
          </w:pPr>
          <w:r>
            <w:rPr>
              <w:rFonts w:ascii="Helvetica" w:hAnsi="Helvetica" w:cs="Helvetica"/>
              <w:smallCaps/>
              <w:color w:val="002060"/>
              <w:lang w:val="pt-BR"/>
            </w:rPr>
          </w:r>
          <w:r>
            <w:rPr>
              <w:rFonts w:ascii="Helvetica" w:hAnsi="Helvetica" w:cs="Helvetica"/>
              <w:smallCaps/>
              <w:color w:val="002060"/>
              <w:lang w:val="pt-BR"/>
            </w:rPr>
          </w:r>
        </w:p>
      </w:tc>
    </w:tr>
  </w:tbl>
  <w:p>
    <w:pPr>
      <w:pStyle w:val="967"/>
      <w:pBdr/>
      <w:spacing/>
      <w:ind/>
      <w:rPr>
        <w:lang w:val="pt-BR"/>
      </w:rPr>
    </w:pPr>
    <w:r>
      <w:rPr>
        <w:lang w:val="pt-BR"/>
      </w:rPr>
    </w:r>
    <w:r>
      <w:rPr>
        <w:lang w:val="pt-BR"/>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F092B84"/>
    <w:lvl w:ilvl="0">
      <w:isLgl w:val="false"/>
      <w:lvlJc w:val="left"/>
      <w:lvlText w:val="%1."/>
      <w:numFmt w:val="decimal"/>
      <w:pPr>
        <w:pBdr/>
        <w:tabs>
          <w:tab w:val="left" w:leader="none" w:pos="0"/>
        </w:tabs>
        <w:spacing/>
        <w:ind w:hanging="1140" w:left="2841"/>
      </w:pPr>
      <w:pStyle w:val="1103"/>
      <w:rPr>
        <w:rFonts w:ascii="Times New Roman" w:hAnsi="Times New Roman" w:cs="Times New Roman"/>
        <w:b w:val="0"/>
        <w:bCs/>
        <w:color w:val="000000"/>
        <w:sz w:val="24"/>
        <w:szCs w:val="24"/>
      </w:rPr>
      <w:start w:val="1"/>
      <w:suff w:val="tab"/>
    </w:lvl>
    <w:lvl w:ilvl="1">
      <w:isLgl w:val="false"/>
      <w:lvlJc w:val="left"/>
      <w:lvlText w:val="%2."/>
      <w:numFmt w:val="lowerLetter"/>
      <w:pPr>
        <w:pBdr/>
        <w:tabs>
          <w:tab w:val="left" w:leader="none" w:pos="0"/>
        </w:tabs>
        <w:spacing/>
        <w:ind w:hanging="360" w:left="2781"/>
      </w:pPr>
      <w:rPr/>
      <w:start w:val="1"/>
      <w:suff w:val="tab"/>
    </w:lvl>
    <w:lvl w:ilvl="2">
      <w:isLgl w:val="false"/>
      <w:lvlJc w:val="right"/>
      <w:lvlText w:val="%3."/>
      <w:numFmt w:val="lowerRoman"/>
      <w:pPr>
        <w:pBdr/>
        <w:tabs>
          <w:tab w:val="left" w:leader="none" w:pos="0"/>
        </w:tabs>
        <w:spacing/>
        <w:ind w:hanging="180" w:left="3501"/>
      </w:pPr>
      <w:rPr/>
      <w:start w:val="1"/>
      <w:suff w:val="tab"/>
    </w:lvl>
    <w:lvl w:ilvl="3">
      <w:isLgl w:val="false"/>
      <w:lvlJc w:val="left"/>
      <w:lvlText w:val="%4."/>
      <w:numFmt w:val="decimal"/>
      <w:pPr>
        <w:pBdr/>
        <w:tabs>
          <w:tab w:val="left" w:leader="none" w:pos="0"/>
        </w:tabs>
        <w:spacing/>
        <w:ind w:hanging="360" w:left="4221"/>
      </w:pPr>
      <w:rPr/>
      <w:start w:val="1"/>
      <w:suff w:val="tab"/>
    </w:lvl>
    <w:lvl w:ilvl="4">
      <w:isLgl w:val="false"/>
      <w:lvlJc w:val="left"/>
      <w:lvlText w:val="%5."/>
      <w:numFmt w:val="lowerLetter"/>
      <w:pPr>
        <w:pBdr/>
        <w:tabs>
          <w:tab w:val="left" w:leader="none" w:pos="0"/>
        </w:tabs>
        <w:spacing/>
        <w:ind w:hanging="360" w:left="4941"/>
      </w:pPr>
      <w:rPr/>
      <w:start w:val="1"/>
      <w:suff w:val="tab"/>
    </w:lvl>
    <w:lvl w:ilvl="5">
      <w:isLgl w:val="false"/>
      <w:lvlJc w:val="right"/>
      <w:lvlText w:val="%6."/>
      <w:numFmt w:val="lowerRoman"/>
      <w:pPr>
        <w:pBdr/>
        <w:tabs>
          <w:tab w:val="left" w:leader="none" w:pos="0"/>
        </w:tabs>
        <w:spacing/>
        <w:ind w:hanging="180" w:left="5661"/>
      </w:pPr>
      <w:rPr/>
      <w:start w:val="1"/>
      <w:suff w:val="tab"/>
    </w:lvl>
    <w:lvl w:ilvl="6">
      <w:isLgl w:val="false"/>
      <w:lvlJc w:val="left"/>
      <w:lvlText w:val="%7."/>
      <w:numFmt w:val="decimal"/>
      <w:pPr>
        <w:pBdr/>
        <w:tabs>
          <w:tab w:val="left" w:leader="none" w:pos="0"/>
        </w:tabs>
        <w:spacing/>
        <w:ind w:hanging="360" w:left="6381"/>
      </w:pPr>
      <w:rPr/>
      <w:start w:val="1"/>
      <w:suff w:val="tab"/>
    </w:lvl>
    <w:lvl w:ilvl="7">
      <w:isLgl w:val="false"/>
      <w:lvlJc w:val="left"/>
      <w:lvlText w:val="%8."/>
      <w:numFmt w:val="lowerLetter"/>
      <w:pPr>
        <w:pBdr/>
        <w:tabs>
          <w:tab w:val="left" w:leader="none" w:pos="0"/>
        </w:tabs>
        <w:spacing/>
        <w:ind w:hanging="360" w:left="7101"/>
      </w:pPr>
      <w:rPr/>
      <w:start w:val="1"/>
      <w:suff w:val="tab"/>
    </w:lvl>
    <w:lvl w:ilvl="8">
      <w:isLgl w:val="false"/>
      <w:lvlJc w:val="right"/>
      <w:lvlText w:val="%9."/>
      <w:numFmt w:val="lowerRoman"/>
      <w:pPr>
        <w:pBdr/>
        <w:tabs>
          <w:tab w:val="left" w:leader="none" w:pos="0"/>
        </w:tabs>
        <w:spacing/>
        <w:ind w:hanging="180" w:left="7821"/>
      </w:pPr>
      <w:rPr/>
      <w:start w:val="1"/>
      <w:suff w:val="tab"/>
    </w:lvl>
  </w:abstractNum>
  <w:abstractNum w:abstractNumId="1">
    <w:nsid w:val="00000001"/>
    <w:lvl w:ilvl="0">
      <w:isLgl w:val="false"/>
      <w:lvlJc w:val="left"/>
      <w:lvlText w:val=""/>
      <w:numFmt w:val="decimal"/>
      <w:pPr>
        <w:pBdr/>
        <w:tabs>
          <w:tab w:val="num" w:leader="none" w:pos="0"/>
        </w:tabs>
        <w:spacing/>
        <w:ind w:firstLine="0" w:left="0"/>
      </w:pPr>
      <w:pStyle w:val="829"/>
      <w:rPr/>
      <w:start w:val="1"/>
      <w:suff w:val="nothing"/>
    </w:lvl>
    <w:lvl w:ilvl="1">
      <w:isLgl w:val="false"/>
      <w:lvlJc w:val="left"/>
      <w:lvlText w:val=""/>
      <w:numFmt w:val="decimal"/>
      <w:pPr>
        <w:pBdr/>
        <w:tabs>
          <w:tab w:val="num" w:leader="none" w:pos="0"/>
        </w:tabs>
        <w:spacing/>
        <w:ind w:firstLine="0" w:left="0"/>
      </w:pPr>
      <w:pStyle w:val="830"/>
      <w:rPr/>
      <w:start w:val="1"/>
      <w:suff w:val="nothing"/>
    </w:lvl>
    <w:lvl w:ilvl="2">
      <w:isLgl w:val="false"/>
      <w:lvlJc w:val="left"/>
      <w:lvlText w:val=""/>
      <w:numFmt w:val="decimal"/>
      <w:pPr>
        <w:pBdr/>
        <w:tabs>
          <w:tab w:val="num" w:leader="none" w:pos="0"/>
        </w:tabs>
        <w:spacing/>
        <w:ind w:firstLine="0" w:left="0"/>
      </w:pPr>
      <w:pStyle w:val="831"/>
      <w:rPr/>
      <w:start w:val="1"/>
      <w:suff w:val="nothing"/>
    </w:lvl>
    <w:lvl w:ilvl="3">
      <w:isLgl w:val="false"/>
      <w:lvlJc w:val="left"/>
      <w:lvlText w:val=""/>
      <w:numFmt w:val="decimal"/>
      <w:pPr>
        <w:pBdr/>
        <w:tabs>
          <w:tab w:val="num" w:leader="none" w:pos="0"/>
        </w:tabs>
        <w:spacing/>
        <w:ind w:firstLine="0" w:left="0"/>
      </w:pPr>
      <w:pStyle w:val="832"/>
      <w:rPr/>
      <w:start w:val="1"/>
      <w:suff w:val="nothing"/>
    </w:lvl>
    <w:lvl w:ilvl="4">
      <w:isLgl w:val="false"/>
      <w:lvlJc w:val="left"/>
      <w:lvlText w:val=""/>
      <w:numFmt w:val="decimal"/>
      <w:pPr>
        <w:pBdr/>
        <w:tabs>
          <w:tab w:val="num" w:leader="none" w:pos="0"/>
        </w:tabs>
        <w:spacing/>
        <w:ind w:firstLine="0" w:left="0"/>
      </w:pPr>
      <w:pStyle w:val="833"/>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2">
    <w:nsid w:val="00000002"/>
    <w:lvl w:ilvl="0">
      <w:isLgl w:val="false"/>
      <w:lvlJc w:val="left"/>
      <w:lvlText w:val="%1."/>
      <w:numFmt w:val="decimal"/>
      <w:pPr>
        <w:pBdr/>
        <w:tabs>
          <w:tab w:val="num" w:leader="none" w:pos="0"/>
        </w:tabs>
        <w:spacing/>
        <w:ind w:hanging="405" w:left="405"/>
      </w:pPr>
      <w:rPr>
        <w:rFonts w:cs="Times New Roman"/>
        <w:b/>
      </w:rPr>
      <w:start w:val="1"/>
      <w:suff w:val="tab"/>
    </w:lvl>
    <w:lvl w:ilvl="1">
      <w:isLgl w:val="false"/>
      <w:lvlJc w:val="left"/>
      <w:lvlText w:val="%1.%2."/>
      <w:numFmt w:val="decimal"/>
      <w:pPr>
        <w:pBdr/>
        <w:tabs>
          <w:tab w:val="num" w:leader="none" w:pos="0"/>
        </w:tabs>
        <w:spacing/>
        <w:ind w:hanging="405" w:left="405"/>
      </w:pPr>
      <w:rPr>
        <w:rFonts w:cs="Times New Roman"/>
        <w:b/>
      </w:rPr>
      <w:start w:val="1"/>
      <w:suff w:val="tab"/>
    </w:lvl>
    <w:lvl w:ilvl="2">
      <w:isLgl w:val="false"/>
      <w:lvlJc w:val="left"/>
      <w:lvlText w:val="%1.%2.%3."/>
      <w:numFmt w:val="decimal"/>
      <w:pPr>
        <w:pBdr/>
        <w:tabs>
          <w:tab w:val="num" w:leader="none" w:pos="0"/>
        </w:tabs>
        <w:spacing/>
        <w:ind w:hanging="720" w:left="720"/>
      </w:pPr>
      <w:rPr>
        <w:rFonts w:cs="Times New Roman"/>
        <w:b/>
      </w:rPr>
      <w:start w:val="1"/>
      <w:suff w:val="tab"/>
    </w:lvl>
    <w:lvl w:ilvl="3">
      <w:isLgl w:val="false"/>
      <w:lvlJc w:val="left"/>
      <w:lvlText w:val="%1.%2.%3.%4."/>
      <w:numFmt w:val="decimal"/>
      <w:pPr>
        <w:pBdr/>
        <w:tabs>
          <w:tab w:val="num" w:leader="none" w:pos="0"/>
        </w:tabs>
        <w:spacing/>
        <w:ind w:hanging="720" w:left="720"/>
      </w:pPr>
      <w:rPr>
        <w:rFonts w:cs="Times New Roman"/>
        <w:b/>
      </w:rPr>
      <w:start w:val="1"/>
      <w:suff w:val="tab"/>
    </w:lvl>
    <w:lvl w:ilvl="4">
      <w:isLgl w:val="false"/>
      <w:lvlJc w:val="left"/>
      <w:lvlText w:val="%1.%2.%3.%4.%5."/>
      <w:numFmt w:val="decimal"/>
      <w:pPr>
        <w:pBdr/>
        <w:tabs>
          <w:tab w:val="num" w:leader="none" w:pos="0"/>
        </w:tabs>
        <w:spacing/>
        <w:ind w:hanging="1080" w:left="1080"/>
      </w:pPr>
      <w:rPr>
        <w:rFonts w:cs="Times New Roman"/>
        <w:b/>
      </w:rPr>
      <w:start w:val="1"/>
      <w:suff w:val="tab"/>
    </w:lvl>
    <w:lvl w:ilvl="5">
      <w:isLgl w:val="false"/>
      <w:lvlJc w:val="left"/>
      <w:lvlText w:val="%1.%2.%3.%4.%5.%6."/>
      <w:numFmt w:val="decimal"/>
      <w:pPr>
        <w:pBdr/>
        <w:tabs>
          <w:tab w:val="num" w:leader="none" w:pos="0"/>
        </w:tabs>
        <w:spacing/>
        <w:ind w:hanging="1080" w:left="1080"/>
      </w:pPr>
      <w:rPr>
        <w:rFonts w:cs="Times New Roman"/>
        <w:b/>
      </w:rPr>
      <w:start w:val="1"/>
      <w:suff w:val="tab"/>
    </w:lvl>
    <w:lvl w:ilvl="6">
      <w:isLgl w:val="false"/>
      <w:lvlJc w:val="left"/>
      <w:lvlText w:val="%1.%2.%3.%4.%5.%6.%7."/>
      <w:numFmt w:val="decimal"/>
      <w:pPr>
        <w:pBdr/>
        <w:tabs>
          <w:tab w:val="num" w:leader="none" w:pos="0"/>
        </w:tabs>
        <w:spacing/>
        <w:ind w:hanging="1440" w:left="1440"/>
      </w:pPr>
      <w:rPr>
        <w:rFonts w:cs="Times New Roman"/>
        <w:b/>
      </w:rPr>
      <w:start w:val="1"/>
      <w:suff w:val="tab"/>
    </w:lvl>
    <w:lvl w:ilvl="7">
      <w:isLgl w:val="false"/>
      <w:lvlJc w:val="left"/>
      <w:lvlText w:val="%1.%2.%3.%4.%5.%6.%7.%8."/>
      <w:numFmt w:val="decimal"/>
      <w:pPr>
        <w:pBdr/>
        <w:tabs>
          <w:tab w:val="num" w:leader="none" w:pos="0"/>
        </w:tabs>
        <w:spacing/>
        <w:ind w:hanging="1440" w:left="1440"/>
      </w:pPr>
      <w:rPr>
        <w:rFonts w:cs="Times New Roman"/>
        <w:b/>
      </w:rPr>
      <w:start w:val="1"/>
      <w:suff w:val="tab"/>
    </w:lvl>
    <w:lvl w:ilvl="8">
      <w:isLgl w:val="false"/>
      <w:lvlJc w:val="left"/>
      <w:lvlText w:val="%1.%2.%3.%4.%5.%6.%7.%8.%9."/>
      <w:numFmt w:val="decimal"/>
      <w:pPr>
        <w:pBdr/>
        <w:tabs>
          <w:tab w:val="num" w:leader="none" w:pos="0"/>
        </w:tabs>
        <w:spacing/>
        <w:ind w:hanging="1800" w:left="1800"/>
      </w:pPr>
      <w:rPr>
        <w:rFonts w:cs="Times New Roman"/>
        <w:b/>
      </w:rPr>
      <w:start w:val="1"/>
      <w:suff w:val="tab"/>
    </w:lvl>
  </w:abstractNum>
  <w:abstractNum w:abstractNumId="3">
    <w:nsid w:val="00000003"/>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360" w:left="360"/>
      </w:pPr>
      <w:rPr>
        <w:rFonts w:ascii="Arial" w:hAnsi="Arial" w:cs="Arial"/>
        <w:b/>
        <w:sz w:val="20"/>
        <w:szCs w:val="20"/>
      </w:rPr>
      <w:start w:val="1"/>
      <w:suff w:val="tab"/>
    </w:lvl>
    <w:lvl w:ilvl="2">
      <w:isLgl w:val="false"/>
      <w:lvlJc w:val="left"/>
      <w:lvlText w:val="%1.%2.%3."/>
      <w:numFmt w:val="decimal"/>
      <w:pPr>
        <w:pBdr/>
        <w:tabs>
          <w:tab w:val="num" w:leader="none" w:pos="0"/>
        </w:tabs>
        <w:spacing/>
        <w:ind w:hanging="720" w:left="720"/>
      </w:pPr>
      <w:rPr/>
      <w:start w:val="1"/>
      <w:suff w:val="tab"/>
    </w:lvl>
    <w:lvl w:ilvl="3">
      <w:isLgl w:val="false"/>
      <w:lvlJc w:val="left"/>
      <w:lvlText w:val="%1.%2.%3.%4."/>
      <w:numFmt w:val="decimal"/>
      <w:pPr>
        <w:pBdr/>
        <w:tabs>
          <w:tab w:val="num" w:leader="none" w:pos="0"/>
        </w:tabs>
        <w:spacing/>
        <w:ind w:hanging="720" w:left="72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080" w:left="108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440" w:left="1440"/>
      </w:pPr>
      <w:rPr/>
      <w:start w:val="1"/>
      <w:suff w:val="tab"/>
    </w:lvl>
    <w:lvl w:ilvl="8">
      <w:isLgl w:val="false"/>
      <w:lvlJc w:val="left"/>
      <w:lvlText w:val="%1.%2.%3.%4.%5.%6.%7.%8.%9."/>
      <w:numFmt w:val="decimal"/>
      <w:pPr>
        <w:pBdr/>
        <w:tabs>
          <w:tab w:val="num" w:leader="none" w:pos="0"/>
        </w:tabs>
        <w:spacing/>
        <w:ind w:hanging="1800" w:left="1800"/>
      </w:pPr>
      <w:rPr/>
      <w:start w:val="1"/>
      <w:suff w:val="tab"/>
    </w:lvl>
  </w:abstractNum>
  <w:abstractNum w:abstractNumId="4">
    <w:nsid w:val="00000004"/>
    <w:lvl w:ilvl="0">
      <w:isLgl w:val="false"/>
      <w:lvlJc w:val="left"/>
      <w:lvlText w:val="%1."/>
      <w:numFmt w:val="decimal"/>
      <w:pPr>
        <w:pBdr/>
        <w:tabs>
          <w:tab w:val="num" w:leader="none" w:pos="0"/>
        </w:tabs>
        <w:spacing/>
        <w:ind w:hanging="360" w:left="360"/>
      </w:pPr>
      <w:pStyle w:val="987"/>
      <w:rPr>
        <w:b/>
      </w:rPr>
      <w:start w:val="8"/>
      <w:suff w:val="tab"/>
    </w:lvl>
    <w:lvl w:ilvl="1">
      <w:isLgl w:val="false"/>
      <w:lvlJc w:val="left"/>
      <w:lvlText w:val="%1.%2."/>
      <w:numFmt w:val="decimal"/>
      <w:pPr>
        <w:pBdr/>
        <w:tabs>
          <w:tab w:val="num" w:leader="none" w:pos="0"/>
        </w:tabs>
        <w:spacing/>
        <w:ind w:hanging="432" w:left="574"/>
      </w:pPr>
      <w:rPr>
        <w:rFonts w:ascii="Arial" w:hAnsi="Arial" w:cs="Arial"/>
        <w:b w:val="0"/>
        <w:i w:val="0"/>
        <w:strike w:val="0"/>
        <w:color w:val="000000"/>
        <w:sz w:val="20"/>
        <w:szCs w:val="20"/>
        <w:u w:val="none"/>
      </w:rPr>
      <w:start w:val="1"/>
      <w:suff w:val="tab"/>
    </w:lvl>
    <w:lvl w:ilvl="2">
      <w:isLgl w:val="false"/>
      <w:lvlJc w:val="left"/>
      <w:lvlText w:val="%1.%2.%3."/>
      <w:numFmt w:val="decimal"/>
      <w:pPr>
        <w:pBdr/>
        <w:tabs>
          <w:tab w:val="num" w:leader="none" w:pos="0"/>
        </w:tabs>
        <w:spacing/>
        <w:ind w:hanging="504" w:left="1638"/>
      </w:pPr>
      <w:rPr>
        <w:rFonts w:ascii="Arial" w:hAnsi="Arial" w:cs="Arial"/>
        <w:b w:val="0"/>
        <w:i w:val="0"/>
        <w:strike w:val="0"/>
        <w:color w:val="000000"/>
        <w:sz w:val="20"/>
        <w:szCs w:val="20"/>
      </w:rPr>
      <w:start w:val="1"/>
      <w:suff w:val="tab"/>
    </w:lvl>
    <w:lvl w:ilvl="3">
      <w:isLgl w:val="false"/>
      <w:lvlJc w:val="left"/>
      <w:lvlText w:val="%1.%2.%3.%4."/>
      <w:numFmt w:val="decimal"/>
      <w:pPr>
        <w:pBdr/>
        <w:tabs>
          <w:tab w:val="num" w:leader="none" w:pos="0"/>
        </w:tabs>
        <w:spacing/>
        <w:ind w:hanging="648" w:left="2491"/>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5">
    <w:nsid w:val="0628CDC1"/>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6">
    <w:nsid w:val="0E3B2AD2"/>
    <w:lvl w:ilvl="0">
      <w:isLgl w:val="false"/>
      <w:lvlJc w:val="left"/>
      <w:lvlText w:val="ü"/>
      <w:numFmt w:val="bullet"/>
      <w:pPr>
        <w:pBdr/>
        <w:tabs>
          <w:tab w:val="num" w:leader="none" w:pos="0"/>
        </w:tabs>
        <w:spacing/>
        <w:ind w:hanging="360" w:left="720"/>
      </w:pPr>
      <w:rPr>
        <w:rFonts w:ascii="Wingdings" w:hAnsi="Wingdings" w:eastAsia="Wingdings" w:cs="Wingdings"/>
      </w:rPr>
      <w:start w:val="1"/>
      <w:suff w:val="tab"/>
    </w:lvl>
    <w:lvl w:ilvl="1">
      <w:isLgl w:val="false"/>
      <w:lvlJc w:val="left"/>
      <w:lvlText w:val="o"/>
      <w:numFmt w:val="bullet"/>
      <w:pPr>
        <w:pBdr/>
        <w:tabs>
          <w:tab w:val="num" w:leader="none" w:pos="0"/>
        </w:tabs>
        <w:spacing/>
        <w:ind w:hanging="360" w:left="1440"/>
      </w:pPr>
      <w:rPr>
        <w:rFonts w:ascii="Courier New" w:hAnsi="Courier New" w:cs="Courier New"/>
      </w:rPr>
      <w:start w:val="1"/>
      <w:suff w:val="tab"/>
    </w:lvl>
    <w:lvl w:ilvl="2">
      <w:isLgl w:val="false"/>
      <w:lvlJc w:val="left"/>
      <w:lvlText w:val=""/>
      <w:numFmt w:val="bullet"/>
      <w:pPr>
        <w:pBdr/>
        <w:tabs>
          <w:tab w:val="num" w:leader="none" w:pos="0"/>
        </w:tabs>
        <w:spacing/>
        <w:ind w:hanging="360" w:left="2160"/>
      </w:pPr>
      <w:rPr>
        <w:rFonts w:ascii="Wingdings" w:hAnsi="Wingdings" w:cs="Wingdings"/>
      </w:rPr>
      <w:start w:val="1"/>
      <w:suff w:val="tab"/>
    </w:lvl>
    <w:lvl w:ilvl="3">
      <w:isLgl w:val="false"/>
      <w:lvlJc w:val="left"/>
      <w:lvlText w:val=""/>
      <w:numFmt w:val="bullet"/>
      <w:pPr>
        <w:pBdr/>
        <w:tabs>
          <w:tab w:val="num" w:leader="none" w:pos="0"/>
        </w:tabs>
        <w:spacing/>
        <w:ind w:hanging="360" w:left="2880"/>
      </w:pPr>
      <w:rPr>
        <w:rFonts w:ascii="Symbol" w:hAnsi="Symbol" w:cs="Symbol"/>
      </w:rPr>
      <w:start w:val="1"/>
      <w:suff w:val="tab"/>
    </w:lvl>
    <w:lvl w:ilvl="4">
      <w:isLgl w:val="false"/>
      <w:lvlJc w:val="left"/>
      <w:lvlText w:val="o"/>
      <w:numFmt w:val="bullet"/>
      <w:pPr>
        <w:pBdr/>
        <w:tabs>
          <w:tab w:val="num" w:leader="none" w:pos="0"/>
        </w:tabs>
        <w:spacing/>
        <w:ind w:hanging="360" w:left="3600"/>
      </w:pPr>
      <w:rPr>
        <w:rFonts w:ascii="Courier New" w:hAnsi="Courier New" w:cs="Courier New"/>
      </w:rPr>
      <w:start w:val="1"/>
      <w:suff w:val="tab"/>
    </w:lvl>
    <w:lvl w:ilvl="5">
      <w:isLgl w:val="false"/>
      <w:lvlJc w:val="left"/>
      <w:lvlText w:val=""/>
      <w:numFmt w:val="bullet"/>
      <w:pPr>
        <w:pBdr/>
        <w:tabs>
          <w:tab w:val="num" w:leader="none" w:pos="0"/>
        </w:tabs>
        <w:spacing/>
        <w:ind w:hanging="360" w:left="4320"/>
      </w:pPr>
      <w:rPr>
        <w:rFonts w:ascii="Wingdings" w:hAnsi="Wingdings" w:cs="Wingdings"/>
      </w:rPr>
      <w:start w:val="1"/>
      <w:suff w:val="tab"/>
    </w:lvl>
    <w:lvl w:ilvl="6">
      <w:isLgl w:val="false"/>
      <w:lvlJc w:val="left"/>
      <w:lvlText w:val=""/>
      <w:numFmt w:val="bullet"/>
      <w:pPr>
        <w:pBdr/>
        <w:tabs>
          <w:tab w:val="num" w:leader="none" w:pos="0"/>
        </w:tabs>
        <w:spacing/>
        <w:ind w:hanging="360" w:left="5040"/>
      </w:pPr>
      <w:rPr>
        <w:rFonts w:ascii="Symbol" w:hAnsi="Symbol" w:cs="Symbol"/>
      </w:rPr>
      <w:start w:val="1"/>
      <w:suff w:val="tab"/>
    </w:lvl>
    <w:lvl w:ilvl="7">
      <w:isLgl w:val="false"/>
      <w:lvlJc w:val="left"/>
      <w:lvlText w:val="o"/>
      <w:numFmt w:val="bullet"/>
      <w:pPr>
        <w:pBdr/>
        <w:tabs>
          <w:tab w:val="num" w:leader="none" w:pos="0"/>
        </w:tabs>
        <w:spacing/>
        <w:ind w:hanging="360" w:left="5760"/>
      </w:pPr>
      <w:rPr>
        <w:rFonts w:ascii="Courier New" w:hAnsi="Courier New" w:cs="Courier New"/>
      </w:rPr>
      <w:start w:val="1"/>
      <w:suff w:val="tab"/>
    </w:lvl>
    <w:lvl w:ilvl="8">
      <w:isLgl w:val="false"/>
      <w:lvlJc w:val="left"/>
      <w:lvlText w:val=""/>
      <w:numFmt w:val="bullet"/>
      <w:pPr>
        <w:pBdr/>
        <w:tabs>
          <w:tab w:val="num" w:leader="none" w:pos="0"/>
        </w:tabs>
        <w:spacing/>
        <w:ind w:hanging="360" w:left="6480"/>
      </w:pPr>
      <w:rPr>
        <w:rFonts w:ascii="Wingdings" w:hAnsi="Wingdings" w:cs="Wingdings"/>
      </w:rPr>
      <w:start w:val="1"/>
      <w:suff w:val="tab"/>
    </w:lvl>
  </w:abstractNum>
  <w:abstractNum w:abstractNumId="7">
    <w:nsid w:val="193A43BC"/>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8">
    <w:nsid w:val="1975869B"/>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9">
    <w:nsid w:val="249BB273"/>
    <w:lvl w:ilvl="0">
      <w:isLgl w:val="false"/>
      <w:lvlJc w:val="left"/>
      <w:lvlText w:val="Ø"/>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ascii="Courier New" w:hAnsi="Courier New" w:eastAsia="Courier New" w:cs="Courier New"/>
      </w:rPr>
      <w:start w:val="1"/>
      <w:suff w:val="tab"/>
    </w:lvl>
    <w:lvl w:ilvl="2">
      <w:isLgl w:val="false"/>
      <w:lvlJc w:val="left"/>
      <w:lvlText w:val="§"/>
      <w:numFmt w:val="bullet"/>
      <w:pPr>
        <w:pBdr/>
        <w:spacing/>
        <w:ind w:hanging="360" w:left="2149"/>
      </w:pPr>
      <w:rPr>
        <w:rFonts w:ascii="Wingdings" w:hAnsi="Wingdings" w:eastAsia="Wingdings" w:cs="Wingdings"/>
      </w:rPr>
      <w:start w:val="1"/>
      <w:suff w:val="tab"/>
    </w:lvl>
    <w:lvl w:ilvl="3">
      <w:isLgl w:val="false"/>
      <w:lvlJc w:val="left"/>
      <w:lvlText w:val="·"/>
      <w:numFmt w:val="bullet"/>
      <w:pPr>
        <w:pBdr/>
        <w:spacing/>
        <w:ind w:hanging="360" w:left="2869"/>
      </w:pPr>
      <w:rPr>
        <w:rFonts w:ascii="Symbol" w:hAnsi="Symbol" w:eastAsia="Symbol" w:cs="Symbol"/>
      </w:rPr>
      <w:start w:val="1"/>
      <w:suff w:val="tab"/>
    </w:lvl>
    <w:lvl w:ilvl="4">
      <w:isLgl w:val="false"/>
      <w:lvlJc w:val="left"/>
      <w:lvlText w:val="o"/>
      <w:numFmt w:val="bullet"/>
      <w:pPr>
        <w:pBdr/>
        <w:spacing/>
        <w:ind w:hanging="360" w:left="3589"/>
      </w:pPr>
      <w:rPr>
        <w:rFonts w:ascii="Courier New" w:hAnsi="Courier New" w:eastAsia="Courier New" w:cs="Courier New"/>
      </w:rPr>
      <w:start w:val="1"/>
      <w:suff w:val="tab"/>
    </w:lvl>
    <w:lvl w:ilvl="5">
      <w:isLgl w:val="false"/>
      <w:lvlJc w:val="left"/>
      <w:lvlText w:val="§"/>
      <w:numFmt w:val="bullet"/>
      <w:pPr>
        <w:pBdr/>
        <w:spacing/>
        <w:ind w:hanging="360" w:left="4309"/>
      </w:pPr>
      <w:rPr>
        <w:rFonts w:ascii="Wingdings" w:hAnsi="Wingdings" w:eastAsia="Wingdings" w:cs="Wingdings"/>
      </w:rPr>
      <w:start w:val="1"/>
      <w:suff w:val="tab"/>
    </w:lvl>
    <w:lvl w:ilvl="6">
      <w:isLgl w:val="false"/>
      <w:lvlJc w:val="left"/>
      <w:lvlText w:val="·"/>
      <w:numFmt w:val="bullet"/>
      <w:pPr>
        <w:pBdr/>
        <w:spacing/>
        <w:ind w:hanging="360" w:left="5029"/>
      </w:pPr>
      <w:rPr>
        <w:rFonts w:ascii="Symbol" w:hAnsi="Symbol" w:eastAsia="Symbol" w:cs="Symbol"/>
      </w:rPr>
      <w:start w:val="1"/>
      <w:suff w:val="tab"/>
    </w:lvl>
    <w:lvl w:ilvl="7">
      <w:isLgl w:val="false"/>
      <w:lvlJc w:val="left"/>
      <w:lvlText w:val="o"/>
      <w:numFmt w:val="bullet"/>
      <w:pPr>
        <w:pBdr/>
        <w:spacing/>
        <w:ind w:hanging="360" w:left="5749"/>
      </w:pPr>
      <w:rPr>
        <w:rFonts w:ascii="Courier New" w:hAnsi="Courier New" w:eastAsia="Courier New" w:cs="Courier New"/>
      </w:rPr>
      <w:start w:val="1"/>
      <w:suff w:val="tab"/>
    </w:lvl>
    <w:lvl w:ilvl="8">
      <w:isLgl w:val="false"/>
      <w:lvlJc w:val="left"/>
      <w:lvlText w:val="§"/>
      <w:numFmt w:val="bullet"/>
      <w:pPr>
        <w:pBdr/>
        <w:spacing/>
        <w:ind w:hanging="360" w:left="6469"/>
      </w:pPr>
      <w:rPr>
        <w:rFonts w:ascii="Wingdings" w:hAnsi="Wingdings" w:eastAsia="Wingdings" w:cs="Wingdings"/>
      </w:rPr>
      <w:start w:val="1"/>
      <w:suff w:val="tab"/>
    </w:lvl>
  </w:abstractNum>
  <w:abstractNum w:abstractNumId="10">
    <w:nsid w:val="2C5A50A2"/>
    <w:lvl w:ilvl="0">
      <w:isLgl w:val="false"/>
      <w:lvlJc w:val="left"/>
      <w:lvlText w:val="Ø"/>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ascii="Courier New" w:hAnsi="Courier New" w:eastAsia="Courier New" w:cs="Courier New"/>
      </w:rPr>
      <w:start w:val="1"/>
      <w:suff w:val="tab"/>
    </w:lvl>
    <w:lvl w:ilvl="2">
      <w:isLgl w:val="false"/>
      <w:lvlJc w:val="left"/>
      <w:lvlText w:val="§"/>
      <w:numFmt w:val="bullet"/>
      <w:pPr>
        <w:pBdr/>
        <w:spacing/>
        <w:ind w:hanging="360" w:left="2149"/>
      </w:pPr>
      <w:rPr>
        <w:rFonts w:ascii="Wingdings" w:hAnsi="Wingdings" w:eastAsia="Wingdings" w:cs="Wingdings"/>
      </w:rPr>
      <w:start w:val="1"/>
      <w:suff w:val="tab"/>
    </w:lvl>
    <w:lvl w:ilvl="3">
      <w:isLgl w:val="false"/>
      <w:lvlJc w:val="left"/>
      <w:lvlText w:val="·"/>
      <w:numFmt w:val="bullet"/>
      <w:pPr>
        <w:pBdr/>
        <w:spacing/>
        <w:ind w:hanging="360" w:left="2869"/>
      </w:pPr>
      <w:rPr>
        <w:rFonts w:ascii="Symbol" w:hAnsi="Symbol" w:eastAsia="Symbol" w:cs="Symbol"/>
      </w:rPr>
      <w:start w:val="1"/>
      <w:suff w:val="tab"/>
    </w:lvl>
    <w:lvl w:ilvl="4">
      <w:isLgl w:val="false"/>
      <w:lvlJc w:val="left"/>
      <w:lvlText w:val="o"/>
      <w:numFmt w:val="bullet"/>
      <w:pPr>
        <w:pBdr/>
        <w:spacing/>
        <w:ind w:hanging="360" w:left="3589"/>
      </w:pPr>
      <w:rPr>
        <w:rFonts w:ascii="Courier New" w:hAnsi="Courier New" w:eastAsia="Courier New" w:cs="Courier New"/>
      </w:rPr>
      <w:start w:val="1"/>
      <w:suff w:val="tab"/>
    </w:lvl>
    <w:lvl w:ilvl="5">
      <w:isLgl w:val="false"/>
      <w:lvlJc w:val="left"/>
      <w:lvlText w:val="§"/>
      <w:numFmt w:val="bullet"/>
      <w:pPr>
        <w:pBdr/>
        <w:spacing/>
        <w:ind w:hanging="360" w:left="4309"/>
      </w:pPr>
      <w:rPr>
        <w:rFonts w:ascii="Wingdings" w:hAnsi="Wingdings" w:eastAsia="Wingdings" w:cs="Wingdings"/>
      </w:rPr>
      <w:start w:val="1"/>
      <w:suff w:val="tab"/>
    </w:lvl>
    <w:lvl w:ilvl="6">
      <w:isLgl w:val="false"/>
      <w:lvlJc w:val="left"/>
      <w:lvlText w:val="·"/>
      <w:numFmt w:val="bullet"/>
      <w:pPr>
        <w:pBdr/>
        <w:spacing/>
        <w:ind w:hanging="360" w:left="5029"/>
      </w:pPr>
      <w:rPr>
        <w:rFonts w:ascii="Symbol" w:hAnsi="Symbol" w:eastAsia="Symbol" w:cs="Symbol"/>
      </w:rPr>
      <w:start w:val="1"/>
      <w:suff w:val="tab"/>
    </w:lvl>
    <w:lvl w:ilvl="7">
      <w:isLgl w:val="false"/>
      <w:lvlJc w:val="left"/>
      <w:lvlText w:val="o"/>
      <w:numFmt w:val="bullet"/>
      <w:pPr>
        <w:pBdr/>
        <w:spacing/>
        <w:ind w:hanging="360" w:left="5749"/>
      </w:pPr>
      <w:rPr>
        <w:rFonts w:ascii="Courier New" w:hAnsi="Courier New" w:eastAsia="Courier New" w:cs="Courier New"/>
      </w:rPr>
      <w:start w:val="1"/>
      <w:suff w:val="tab"/>
    </w:lvl>
    <w:lvl w:ilvl="8">
      <w:isLgl w:val="false"/>
      <w:lvlJc w:val="left"/>
      <w:lvlText w:val="§"/>
      <w:numFmt w:val="bullet"/>
      <w:pPr>
        <w:pBdr/>
        <w:spacing/>
        <w:ind w:hanging="360" w:left="6469"/>
      </w:pPr>
      <w:rPr>
        <w:rFonts w:ascii="Wingdings" w:hAnsi="Wingdings" w:eastAsia="Wingdings" w:cs="Wingdings"/>
      </w:rPr>
      <w:start w:val="1"/>
      <w:suff w:val="tab"/>
    </w:lvl>
  </w:abstractNum>
  <w:abstractNum w:abstractNumId="11">
    <w:nsid w:val="4288094B"/>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2">
    <w:nsid w:val="45EDB9F8"/>
    <w:lvl w:ilvl="0">
      <w:isLgl w:val="false"/>
      <w:lvlJc w:val="left"/>
      <w:lvlText w:val="%1."/>
      <w:numFmt w:val="decimal"/>
      <w:pPr>
        <w:pBdr/>
        <w:spacing/>
        <w:ind w:firstLine="0" w:left="0"/>
      </w:pPr>
      <w:rPr/>
      <w:start w:val="1"/>
      <w:suff w:val="space"/>
    </w:lvl>
    <w:lvl w:ilvl="1">
      <w:isLgl w:val="false"/>
      <w:lvlJc w:val="left"/>
      <w:lvlText w:val="%1.%2."/>
      <w:numFmt w:val="decimal"/>
      <w:pPr>
        <w:pBdr/>
        <w:spacing/>
        <w:ind w:firstLine="0" w:left="0"/>
      </w:pPr>
      <w:rPr>
        <w:rFonts w:ascii="Times New Roman" w:hAnsi="Times New Roman" w:cs="Times New Roman"/>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13">
    <w:nsid w:val="47D142AE"/>
    <w:lvl w:ilvl="0">
      <w:isLgl w:val="false"/>
      <w:lvlJc w:val="left"/>
      <w:lvlText w:val="%1."/>
      <w:numFmt w:val="decimal"/>
      <w:pPr>
        <w:pBdr/>
        <w:spacing/>
        <w:ind w:firstLine="0" w:left="0"/>
      </w:pPr>
      <w:rPr/>
      <w:start w:val="1"/>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14">
    <w:nsid w:val="4F611029"/>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5">
    <w:nsid w:val="5004650A"/>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6">
    <w:nsid w:val="5D9A7895"/>
    <w:lvl w:ilvl="0">
      <w:isLgl w:val="false"/>
      <w:lvlJc w:val="left"/>
      <w:lvlText w:val="ü"/>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7">
    <w:nsid w:val="628B46D5"/>
    <w:lvl w:ilvl="0">
      <w:isLgl w:val="false"/>
      <w:lvlJc w:val="left"/>
      <w:lvlText w:val="%1"/>
      <w:numFmt w:val="decimal"/>
      <w:pPr>
        <w:pBdr/>
        <w:spacing/>
        <w:ind w:hanging="360" w:left="360"/>
      </w:pPr>
      <w:pStyle w:val="1069"/>
      <w:rPr>
        <w:rFonts w:cs="Times New Roman"/>
      </w:rPr>
      <w:start w:val="3"/>
      <w:suff w:val="tab"/>
    </w:lvl>
    <w:lvl w:ilvl="1">
      <w:isLgl w:val="false"/>
      <w:lvlJc w:val="left"/>
      <w:lvlText w:val="%1.%2"/>
      <w:numFmt w:val="decimal"/>
      <w:pPr>
        <w:pBdr/>
        <w:spacing/>
        <w:ind w:hanging="360" w:left="360"/>
      </w:pPr>
      <w:rPr>
        <w:rFonts w:cs="Times New Roman"/>
        <w:b/>
      </w:rPr>
      <w:start w:val="1"/>
      <w:suff w:val="tab"/>
    </w:lvl>
    <w:lvl w:ilvl="2">
      <w:isLgl w:val="false"/>
      <w:lvlJc w:val="left"/>
      <w:lvlText w:val="%1.%2.%3"/>
      <w:numFmt w:val="decimal"/>
      <w:pPr>
        <w:pBdr/>
        <w:spacing/>
        <w:ind w:hanging="720" w:left="720"/>
      </w:pPr>
      <w:rPr>
        <w:rFonts w:cs="Times New Roman"/>
      </w:rPr>
      <w:start w:val="1"/>
      <w:suff w:val="tab"/>
    </w:lvl>
    <w:lvl w:ilvl="3">
      <w:isLgl w:val="false"/>
      <w:lvlJc w:val="left"/>
      <w:lvlText w:val="%1.%2.%3.%4"/>
      <w:numFmt w:val="decimal"/>
      <w:pPr>
        <w:pBdr/>
        <w:spacing/>
        <w:ind w:hanging="720" w:left="720"/>
      </w:pPr>
      <w:rPr>
        <w:rFonts w:cs="Times New Roman"/>
      </w:rPr>
      <w:start w:val="1"/>
      <w:suff w:val="tab"/>
    </w:lvl>
    <w:lvl w:ilvl="4">
      <w:isLgl w:val="false"/>
      <w:lvlJc w:val="left"/>
      <w:lvlText w:val="%1.%2.%3.%4.%5"/>
      <w:numFmt w:val="decimal"/>
      <w:pPr>
        <w:pBdr/>
        <w:spacing/>
        <w:ind w:hanging="1080" w:left="1080"/>
      </w:pPr>
      <w:rPr>
        <w:rFonts w:cs="Times New Roman"/>
      </w:rPr>
      <w:start w:val="1"/>
      <w:suff w:val="tab"/>
    </w:lvl>
    <w:lvl w:ilvl="5">
      <w:isLgl w:val="false"/>
      <w:lvlJc w:val="left"/>
      <w:lvlText w:val="%1.%2.%3.%4.%5.%6"/>
      <w:numFmt w:val="decimal"/>
      <w:pPr>
        <w:pBdr/>
        <w:spacing/>
        <w:ind w:hanging="1080" w:left="1080"/>
      </w:pPr>
      <w:rPr>
        <w:rFonts w:cs="Times New Roman"/>
      </w:rPr>
      <w:start w:val="1"/>
      <w:suff w:val="tab"/>
    </w:lvl>
    <w:lvl w:ilvl="6">
      <w:isLgl w:val="false"/>
      <w:lvlJc w:val="left"/>
      <w:lvlText w:val="%1.%2.%3.%4.%5.%6.%7"/>
      <w:numFmt w:val="decimal"/>
      <w:pPr>
        <w:pBdr/>
        <w:spacing/>
        <w:ind w:hanging="1440" w:left="1440"/>
      </w:pPr>
      <w:rPr>
        <w:rFonts w:cs="Times New Roman"/>
      </w:rPr>
      <w:start w:val="1"/>
      <w:suff w:val="tab"/>
    </w:lvl>
    <w:lvl w:ilvl="7">
      <w:isLgl w:val="false"/>
      <w:lvlJc w:val="left"/>
      <w:lvlText w:val="%1.%2.%3.%4.%5.%6.%7.%8"/>
      <w:numFmt w:val="decimal"/>
      <w:pPr>
        <w:pBdr/>
        <w:spacing/>
        <w:ind w:hanging="1440" w:left="1440"/>
      </w:pPr>
      <w:rPr>
        <w:rFonts w:cs="Times New Roman"/>
      </w:rPr>
      <w:start w:val="1"/>
      <w:suff w:val="tab"/>
    </w:lvl>
    <w:lvl w:ilvl="8">
      <w:isLgl w:val="false"/>
      <w:lvlJc w:val="left"/>
      <w:lvlText w:val="%1.%2.%3.%4.%5.%6.%7.%8.%9"/>
      <w:numFmt w:val="decimal"/>
      <w:pPr>
        <w:pBdr/>
        <w:spacing/>
        <w:ind w:hanging="1800" w:left="1800"/>
      </w:pPr>
      <w:rPr>
        <w:rFonts w:cs="Times New Roman"/>
      </w:rPr>
      <w:start w:val="1"/>
      <w:suff w:val="tab"/>
    </w:lvl>
  </w:abstractNum>
  <w:abstractNum w:abstractNumId="18">
    <w:nsid w:val="6474ED6D"/>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9">
    <w:nsid w:val="67559AE7"/>
    <w:lvl w:ilvl="0">
      <w:isLgl w:val="false"/>
      <w:lvlJc w:val="left"/>
      <w:lvlText w:val="Ø"/>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ascii="Courier New" w:hAnsi="Courier New" w:eastAsia="Courier New" w:cs="Courier New"/>
      </w:rPr>
      <w:start w:val="1"/>
      <w:suff w:val="tab"/>
    </w:lvl>
    <w:lvl w:ilvl="2">
      <w:isLgl w:val="false"/>
      <w:lvlJc w:val="left"/>
      <w:lvlText w:val="§"/>
      <w:numFmt w:val="bullet"/>
      <w:pPr>
        <w:pBdr/>
        <w:spacing/>
        <w:ind w:hanging="360" w:left="2149"/>
      </w:pPr>
      <w:rPr>
        <w:rFonts w:ascii="Wingdings" w:hAnsi="Wingdings" w:eastAsia="Wingdings" w:cs="Wingdings"/>
      </w:rPr>
      <w:start w:val="1"/>
      <w:suff w:val="tab"/>
    </w:lvl>
    <w:lvl w:ilvl="3">
      <w:isLgl w:val="false"/>
      <w:lvlJc w:val="left"/>
      <w:lvlText w:val="·"/>
      <w:numFmt w:val="bullet"/>
      <w:pPr>
        <w:pBdr/>
        <w:spacing/>
        <w:ind w:hanging="360" w:left="2869"/>
      </w:pPr>
      <w:rPr>
        <w:rFonts w:ascii="Symbol" w:hAnsi="Symbol" w:eastAsia="Symbol" w:cs="Symbol"/>
      </w:rPr>
      <w:start w:val="1"/>
      <w:suff w:val="tab"/>
    </w:lvl>
    <w:lvl w:ilvl="4">
      <w:isLgl w:val="false"/>
      <w:lvlJc w:val="left"/>
      <w:lvlText w:val="o"/>
      <w:numFmt w:val="bullet"/>
      <w:pPr>
        <w:pBdr/>
        <w:spacing/>
        <w:ind w:hanging="360" w:left="3589"/>
      </w:pPr>
      <w:rPr>
        <w:rFonts w:ascii="Courier New" w:hAnsi="Courier New" w:eastAsia="Courier New" w:cs="Courier New"/>
      </w:rPr>
      <w:start w:val="1"/>
      <w:suff w:val="tab"/>
    </w:lvl>
    <w:lvl w:ilvl="5">
      <w:isLgl w:val="false"/>
      <w:lvlJc w:val="left"/>
      <w:lvlText w:val="§"/>
      <w:numFmt w:val="bullet"/>
      <w:pPr>
        <w:pBdr/>
        <w:spacing/>
        <w:ind w:hanging="360" w:left="4309"/>
      </w:pPr>
      <w:rPr>
        <w:rFonts w:ascii="Wingdings" w:hAnsi="Wingdings" w:eastAsia="Wingdings" w:cs="Wingdings"/>
      </w:rPr>
      <w:start w:val="1"/>
      <w:suff w:val="tab"/>
    </w:lvl>
    <w:lvl w:ilvl="6">
      <w:isLgl w:val="false"/>
      <w:lvlJc w:val="left"/>
      <w:lvlText w:val="·"/>
      <w:numFmt w:val="bullet"/>
      <w:pPr>
        <w:pBdr/>
        <w:spacing/>
        <w:ind w:hanging="360" w:left="5029"/>
      </w:pPr>
      <w:rPr>
        <w:rFonts w:ascii="Symbol" w:hAnsi="Symbol" w:eastAsia="Symbol" w:cs="Symbol"/>
      </w:rPr>
      <w:start w:val="1"/>
      <w:suff w:val="tab"/>
    </w:lvl>
    <w:lvl w:ilvl="7">
      <w:isLgl w:val="false"/>
      <w:lvlJc w:val="left"/>
      <w:lvlText w:val="o"/>
      <w:numFmt w:val="bullet"/>
      <w:pPr>
        <w:pBdr/>
        <w:spacing/>
        <w:ind w:hanging="360" w:left="5749"/>
      </w:pPr>
      <w:rPr>
        <w:rFonts w:ascii="Courier New" w:hAnsi="Courier New" w:eastAsia="Courier New" w:cs="Courier New"/>
      </w:rPr>
      <w:start w:val="1"/>
      <w:suff w:val="tab"/>
    </w:lvl>
    <w:lvl w:ilvl="8">
      <w:isLgl w:val="false"/>
      <w:lvlJc w:val="left"/>
      <w:lvlText w:val="§"/>
      <w:numFmt w:val="bullet"/>
      <w:pPr>
        <w:pBdr/>
        <w:spacing/>
        <w:ind w:hanging="360" w:left="6469"/>
      </w:pPr>
      <w:rPr>
        <w:rFonts w:ascii="Wingdings" w:hAnsi="Wingdings" w:eastAsia="Wingdings" w:cs="Wingdings"/>
      </w:rPr>
      <w:start w:val="1"/>
      <w:suff w:val="tab"/>
    </w:lvl>
  </w:abstractNum>
  <w:abstractNum w:abstractNumId="20">
    <w:nsid w:val="6A0B7DE8"/>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1">
    <w:nsid w:val="7AEEA4EA"/>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num w:numId="1">
    <w:abstractNumId w:val="1"/>
  </w:num>
  <w:num w:numId="2">
    <w:abstractNumId w:val="2"/>
  </w:num>
  <w:num w:numId="3">
    <w:abstractNumId w:val="3"/>
  </w:num>
  <w:num w:numId="4">
    <w:abstractNumId w:val="4"/>
  </w:num>
  <w:num w:numId="5">
    <w:abstractNumId w:val="17"/>
  </w:num>
  <w:num w:numId="6">
    <w:abstractNumId w:val="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15"/>
  </w:num>
  <w:num w:numId="11">
    <w:abstractNumId w:val="14"/>
  </w:num>
  <w:num w:numId="12">
    <w:abstractNumId w:val="7"/>
  </w:num>
  <w:num w:numId="13">
    <w:abstractNumId w:val="18"/>
  </w:num>
  <w:num w:numId="14">
    <w:abstractNumId w:val="10"/>
  </w:num>
  <w:num w:numId="15">
    <w:abstractNumId w:val="8"/>
  </w:num>
  <w:num w:numId="16">
    <w:abstractNumId w:val="21"/>
  </w:num>
  <w:num w:numId="17">
    <w:abstractNumId w:val="19"/>
  </w:num>
  <w:num w:numId="18">
    <w:abstractNumId w:val="9"/>
  </w:num>
  <w:num w:numId="19">
    <w:abstractNumId w:val="11"/>
  </w:num>
  <w:num w:numId="20">
    <w:abstractNumId w:val="5"/>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val="true"/>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pt-BR"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w:basedOn w:val="1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1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1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1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1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1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1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1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1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1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1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1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1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1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1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1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1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d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1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1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1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1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1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1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1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1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1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1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1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1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1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1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1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1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1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1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1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1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1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1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1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1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1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1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1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1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1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1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1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1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1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1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3">
    <w:name w:val="List Table 7 Colorful - Accent 3"/>
    <w:basedOn w:val="1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a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4">
    <w:name w:val="List Table 7 Colorful - Accent 4"/>
    <w:basedOn w:val="1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5">
    <w:name w:val="List Table 7 Colorful - Accent 5"/>
    <w:basedOn w:val="1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4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6">
    <w:name w:val="List Table 7 Colorful - Accent 6"/>
    <w:basedOn w:val="1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9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7">
    <w:name w:val="Lined - Accent"/>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1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1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1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1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1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1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1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1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828"/>
    <w:next w:val="828"/>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828"/>
    <w:next w:val="828"/>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828"/>
    <w:next w:val="828"/>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828"/>
    <w:next w:val="828"/>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828"/>
    <w:next w:val="828"/>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828"/>
    <w:next w:val="828"/>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828"/>
    <w:next w:val="828"/>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828"/>
    <w:next w:val="828"/>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828"/>
    <w:next w:val="828"/>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8" w:default="1">
    <w:name w:val="Default Paragraph Font"/>
    <w:uiPriority w:val="1"/>
    <w:semiHidden/>
    <w:unhideWhenUsed/>
    <w:pPr>
      <w:pBdr/>
      <w:spacing/>
      <w:ind/>
    </w:pPr>
  </w:style>
  <w:style w:type="numbering" w:styleId="149" w:default="1">
    <w:name w:val="No List"/>
    <w:uiPriority w:val="99"/>
    <w:semiHidden/>
    <w:unhideWhenUsed/>
    <w:pPr>
      <w:pBdr/>
      <w:spacing/>
      <w:ind/>
    </w:pPr>
  </w:style>
  <w:style w:type="character" w:styleId="150">
    <w:name w:val="Heading 1 Char"/>
    <w:basedOn w:val="148"/>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148"/>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148"/>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148"/>
    <w:link w:val="142"/>
    <w:uiPriority w:val="9"/>
    <w:pPr>
      <w:pBdr/>
      <w:spacing/>
      <w:ind/>
    </w:pPr>
    <w:rPr>
      <w:rFonts w:ascii="Arial" w:hAnsi="Arial" w:eastAsia="Arial" w:cs="Arial"/>
      <w:i/>
      <w:iCs/>
      <w:color w:val="0f4761" w:themeColor="accent1" w:themeShade="BF"/>
    </w:rPr>
  </w:style>
  <w:style w:type="character" w:styleId="154">
    <w:name w:val="Heading 5 Char"/>
    <w:basedOn w:val="148"/>
    <w:link w:val="143"/>
    <w:uiPriority w:val="9"/>
    <w:pPr>
      <w:pBdr/>
      <w:spacing/>
      <w:ind/>
    </w:pPr>
    <w:rPr>
      <w:rFonts w:ascii="Arial" w:hAnsi="Arial" w:eastAsia="Arial" w:cs="Arial"/>
      <w:color w:val="0f4761" w:themeColor="accent1" w:themeShade="BF"/>
    </w:rPr>
  </w:style>
  <w:style w:type="character" w:styleId="155">
    <w:name w:val="Heading 6 Char"/>
    <w:basedOn w:val="148"/>
    <w:link w:val="144"/>
    <w:uiPriority w:val="9"/>
    <w:pPr>
      <w:pBdr/>
      <w:spacing/>
      <w:ind/>
    </w:pPr>
    <w:rPr>
      <w:rFonts w:ascii="Arial" w:hAnsi="Arial" w:eastAsia="Arial" w:cs="Arial"/>
      <w:i/>
      <w:iCs/>
      <w:color w:val="595959" w:themeColor="text1" w:themeTint="A6"/>
    </w:rPr>
  </w:style>
  <w:style w:type="character" w:styleId="156">
    <w:name w:val="Heading 7 Char"/>
    <w:basedOn w:val="148"/>
    <w:link w:val="145"/>
    <w:uiPriority w:val="9"/>
    <w:pPr>
      <w:pBdr/>
      <w:spacing/>
      <w:ind/>
    </w:pPr>
    <w:rPr>
      <w:rFonts w:ascii="Arial" w:hAnsi="Arial" w:eastAsia="Arial" w:cs="Arial"/>
      <w:color w:val="595959" w:themeColor="text1" w:themeTint="A6"/>
    </w:rPr>
  </w:style>
  <w:style w:type="character" w:styleId="157">
    <w:name w:val="Heading 8 Char"/>
    <w:basedOn w:val="148"/>
    <w:link w:val="146"/>
    <w:uiPriority w:val="9"/>
    <w:pPr>
      <w:pBdr/>
      <w:spacing/>
      <w:ind/>
    </w:pPr>
    <w:rPr>
      <w:rFonts w:ascii="Arial" w:hAnsi="Arial" w:eastAsia="Arial" w:cs="Arial"/>
      <w:i/>
      <w:iCs/>
      <w:color w:val="272727" w:themeColor="text1" w:themeTint="D8"/>
    </w:rPr>
  </w:style>
  <w:style w:type="character" w:styleId="158">
    <w:name w:val="Heading 9 Char"/>
    <w:basedOn w:val="148"/>
    <w:link w:val="147"/>
    <w:uiPriority w:val="9"/>
    <w:pPr>
      <w:pBdr/>
      <w:spacing/>
      <w:ind/>
    </w:pPr>
    <w:rPr>
      <w:rFonts w:ascii="Arial" w:hAnsi="Arial" w:eastAsia="Arial" w:cs="Arial"/>
      <w:i/>
      <w:iCs/>
      <w:color w:val="272727" w:themeColor="text1" w:themeTint="D8"/>
    </w:rPr>
  </w:style>
  <w:style w:type="paragraph" w:styleId="159">
    <w:name w:val="Title"/>
    <w:basedOn w:val="828"/>
    <w:next w:val="828"/>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148"/>
    <w:link w:val="159"/>
    <w:uiPriority w:val="10"/>
    <w:pPr>
      <w:pBdr/>
      <w:spacing/>
      <w:ind/>
    </w:pPr>
    <w:rPr>
      <w:rFonts w:ascii="Arial" w:hAnsi="Arial" w:eastAsia="Arial" w:cs="Arial"/>
      <w:spacing w:val="-10"/>
      <w:sz w:val="56"/>
      <w:szCs w:val="56"/>
    </w:rPr>
  </w:style>
  <w:style w:type="paragraph" w:styleId="161">
    <w:name w:val="Subtitle"/>
    <w:basedOn w:val="828"/>
    <w:next w:val="828"/>
    <w:link w:val="162"/>
    <w:uiPriority w:val="11"/>
    <w:qFormat/>
    <w:pPr>
      <w:numPr>
        <w:ilvl w:val="1"/>
      </w:numPr>
      <w:pBdr/>
      <w:spacing/>
      <w:ind/>
    </w:pPr>
    <w:rPr>
      <w:color w:val="595959" w:themeColor="text1" w:themeTint="A6"/>
      <w:spacing w:val="15"/>
      <w:sz w:val="28"/>
      <w:szCs w:val="28"/>
    </w:rPr>
  </w:style>
  <w:style w:type="character" w:styleId="162">
    <w:name w:val="Subtitle Char"/>
    <w:basedOn w:val="148"/>
    <w:link w:val="161"/>
    <w:uiPriority w:val="11"/>
    <w:pPr>
      <w:pBdr/>
      <w:spacing/>
      <w:ind/>
    </w:pPr>
    <w:rPr>
      <w:color w:val="595959" w:themeColor="text1" w:themeTint="A6"/>
      <w:spacing w:val="15"/>
      <w:sz w:val="28"/>
      <w:szCs w:val="28"/>
    </w:rPr>
  </w:style>
  <w:style w:type="paragraph" w:styleId="163">
    <w:name w:val="Quote"/>
    <w:basedOn w:val="828"/>
    <w:next w:val="828"/>
    <w:link w:val="164"/>
    <w:uiPriority w:val="29"/>
    <w:qFormat/>
    <w:pPr>
      <w:pBdr/>
      <w:spacing w:before="160"/>
      <w:ind/>
      <w:jc w:val="center"/>
    </w:pPr>
    <w:rPr>
      <w:i/>
      <w:iCs/>
      <w:color w:val="404040" w:themeColor="text1" w:themeTint="BF"/>
    </w:rPr>
  </w:style>
  <w:style w:type="character" w:styleId="164">
    <w:name w:val="Quote Char"/>
    <w:basedOn w:val="148"/>
    <w:link w:val="163"/>
    <w:uiPriority w:val="29"/>
    <w:pPr>
      <w:pBdr/>
      <w:spacing/>
      <w:ind/>
    </w:pPr>
    <w:rPr>
      <w:i/>
      <w:iCs/>
      <w:color w:val="404040" w:themeColor="text1" w:themeTint="BF"/>
    </w:rPr>
  </w:style>
  <w:style w:type="paragraph" w:styleId="165">
    <w:name w:val="List Paragraph"/>
    <w:basedOn w:val="828"/>
    <w:uiPriority w:val="34"/>
    <w:qFormat/>
    <w:pPr>
      <w:pBdr/>
      <w:spacing/>
      <w:ind w:left="720"/>
      <w:contextualSpacing w:val="true"/>
    </w:pPr>
  </w:style>
  <w:style w:type="character" w:styleId="166">
    <w:name w:val="Intense Emphasis"/>
    <w:basedOn w:val="148"/>
    <w:uiPriority w:val="21"/>
    <w:qFormat/>
    <w:pPr>
      <w:pBdr/>
      <w:spacing/>
      <w:ind/>
    </w:pPr>
    <w:rPr>
      <w:i/>
      <w:iCs/>
      <w:color w:val="0f4761" w:themeColor="accent1" w:themeShade="BF"/>
    </w:rPr>
  </w:style>
  <w:style w:type="paragraph" w:styleId="167">
    <w:name w:val="Intense Quote"/>
    <w:basedOn w:val="828"/>
    <w:next w:val="828"/>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148"/>
    <w:link w:val="167"/>
    <w:uiPriority w:val="30"/>
    <w:pPr>
      <w:pBdr/>
      <w:spacing/>
      <w:ind/>
    </w:pPr>
    <w:rPr>
      <w:i/>
      <w:iCs/>
      <w:color w:val="0f4761" w:themeColor="accent1" w:themeShade="BF"/>
    </w:rPr>
  </w:style>
  <w:style w:type="character" w:styleId="169">
    <w:name w:val="Intense Reference"/>
    <w:basedOn w:val="148"/>
    <w:uiPriority w:val="32"/>
    <w:qFormat/>
    <w:pPr>
      <w:pBdr/>
      <w:spacing/>
      <w:ind/>
    </w:pPr>
    <w:rPr>
      <w:b/>
      <w:bCs/>
      <w:smallCaps/>
      <w:color w:val="0f4761" w:themeColor="accent1" w:themeShade="BF"/>
      <w:spacing w:val="5"/>
    </w:rPr>
  </w:style>
  <w:style w:type="paragraph" w:styleId="170">
    <w:name w:val="No Spacing"/>
    <w:basedOn w:val="828"/>
    <w:uiPriority w:val="1"/>
    <w:qFormat/>
    <w:pPr>
      <w:pBdr/>
      <w:spacing w:after="0" w:line="240" w:lineRule="auto"/>
      <w:ind/>
    </w:pPr>
  </w:style>
  <w:style w:type="character" w:styleId="171">
    <w:name w:val="Subtle Emphasis"/>
    <w:basedOn w:val="148"/>
    <w:uiPriority w:val="19"/>
    <w:qFormat/>
    <w:pPr>
      <w:pBdr/>
      <w:spacing/>
      <w:ind/>
    </w:pPr>
    <w:rPr>
      <w:i/>
      <w:iCs/>
      <w:color w:val="404040" w:themeColor="text1" w:themeTint="BF"/>
    </w:rPr>
  </w:style>
  <w:style w:type="character" w:styleId="172">
    <w:name w:val="Emphasis"/>
    <w:basedOn w:val="148"/>
    <w:uiPriority w:val="20"/>
    <w:qFormat/>
    <w:pPr>
      <w:pBdr/>
      <w:spacing/>
      <w:ind/>
    </w:pPr>
    <w:rPr>
      <w:i/>
      <w:iCs/>
    </w:rPr>
  </w:style>
  <w:style w:type="character" w:styleId="173">
    <w:name w:val="Strong"/>
    <w:basedOn w:val="148"/>
    <w:uiPriority w:val="22"/>
    <w:qFormat/>
    <w:pPr>
      <w:pBdr/>
      <w:spacing/>
      <w:ind/>
    </w:pPr>
    <w:rPr>
      <w:b/>
      <w:bCs/>
    </w:rPr>
  </w:style>
  <w:style w:type="character" w:styleId="174">
    <w:name w:val="Subtle Reference"/>
    <w:basedOn w:val="148"/>
    <w:uiPriority w:val="31"/>
    <w:qFormat/>
    <w:pPr>
      <w:pBdr/>
      <w:spacing/>
      <w:ind/>
    </w:pPr>
    <w:rPr>
      <w:smallCaps/>
      <w:color w:val="5a5a5a" w:themeColor="text1" w:themeTint="A5"/>
    </w:rPr>
  </w:style>
  <w:style w:type="character" w:styleId="175">
    <w:name w:val="Book Title"/>
    <w:basedOn w:val="148"/>
    <w:uiPriority w:val="33"/>
    <w:qFormat/>
    <w:pPr>
      <w:pBdr/>
      <w:spacing/>
      <w:ind/>
    </w:pPr>
    <w:rPr>
      <w:b/>
      <w:bCs/>
      <w:i/>
      <w:iCs/>
      <w:spacing w:val="5"/>
    </w:rPr>
  </w:style>
  <w:style w:type="paragraph" w:styleId="176">
    <w:name w:val="Header"/>
    <w:basedOn w:val="828"/>
    <w:link w:val="177"/>
    <w:uiPriority w:val="99"/>
    <w:unhideWhenUsed/>
    <w:pPr>
      <w:pBdr/>
      <w:tabs>
        <w:tab w:val="center" w:leader="none" w:pos="4844"/>
        <w:tab w:val="right" w:leader="none" w:pos="9689"/>
      </w:tabs>
      <w:spacing w:after="0" w:line="240" w:lineRule="auto"/>
      <w:ind/>
    </w:pPr>
  </w:style>
  <w:style w:type="character" w:styleId="177">
    <w:name w:val="Header Char"/>
    <w:basedOn w:val="148"/>
    <w:link w:val="176"/>
    <w:uiPriority w:val="99"/>
    <w:pPr>
      <w:pBdr/>
      <w:spacing/>
      <w:ind/>
    </w:pPr>
  </w:style>
  <w:style w:type="paragraph" w:styleId="178">
    <w:name w:val="Footer"/>
    <w:basedOn w:val="828"/>
    <w:link w:val="179"/>
    <w:uiPriority w:val="99"/>
    <w:unhideWhenUsed/>
    <w:pPr>
      <w:pBdr/>
      <w:tabs>
        <w:tab w:val="center" w:leader="none" w:pos="4844"/>
        <w:tab w:val="right" w:leader="none" w:pos="9689"/>
      </w:tabs>
      <w:spacing w:after="0" w:line="240" w:lineRule="auto"/>
      <w:ind/>
    </w:pPr>
  </w:style>
  <w:style w:type="character" w:styleId="179">
    <w:name w:val="Footer Char"/>
    <w:basedOn w:val="148"/>
    <w:link w:val="178"/>
    <w:uiPriority w:val="99"/>
    <w:pPr>
      <w:pBdr/>
      <w:spacing/>
      <w:ind/>
    </w:pPr>
  </w:style>
  <w:style w:type="paragraph" w:styleId="180">
    <w:name w:val="Caption"/>
    <w:basedOn w:val="828"/>
    <w:next w:val="828"/>
    <w:uiPriority w:val="35"/>
    <w:unhideWhenUsed/>
    <w:qFormat/>
    <w:pPr>
      <w:pBdr/>
      <w:spacing w:after="200" w:line="240" w:lineRule="auto"/>
      <w:ind/>
    </w:pPr>
    <w:rPr>
      <w:i/>
      <w:iCs/>
      <w:color w:val="0e2841" w:themeColor="text2"/>
      <w:sz w:val="18"/>
      <w:szCs w:val="18"/>
    </w:rPr>
  </w:style>
  <w:style w:type="paragraph" w:styleId="181">
    <w:name w:val="footnote text"/>
    <w:basedOn w:val="828"/>
    <w:link w:val="182"/>
    <w:uiPriority w:val="99"/>
    <w:semiHidden/>
    <w:unhideWhenUsed/>
    <w:pPr>
      <w:pBdr/>
      <w:spacing w:after="0" w:line="240" w:lineRule="auto"/>
      <w:ind/>
    </w:pPr>
    <w:rPr>
      <w:sz w:val="20"/>
      <w:szCs w:val="20"/>
    </w:rPr>
  </w:style>
  <w:style w:type="character" w:styleId="182">
    <w:name w:val="Footnote Text Char"/>
    <w:basedOn w:val="148"/>
    <w:link w:val="181"/>
    <w:uiPriority w:val="99"/>
    <w:semiHidden/>
    <w:pPr>
      <w:pBdr/>
      <w:spacing/>
      <w:ind/>
    </w:pPr>
    <w:rPr>
      <w:sz w:val="20"/>
      <w:szCs w:val="20"/>
    </w:rPr>
  </w:style>
  <w:style w:type="character" w:styleId="183">
    <w:name w:val="footnote reference"/>
    <w:basedOn w:val="148"/>
    <w:uiPriority w:val="99"/>
    <w:semiHidden/>
    <w:unhideWhenUsed/>
    <w:pPr>
      <w:pBdr/>
      <w:spacing/>
      <w:ind/>
    </w:pPr>
    <w:rPr>
      <w:vertAlign w:val="superscript"/>
    </w:rPr>
  </w:style>
  <w:style w:type="paragraph" w:styleId="184">
    <w:name w:val="endnote text"/>
    <w:basedOn w:val="828"/>
    <w:link w:val="185"/>
    <w:uiPriority w:val="99"/>
    <w:semiHidden/>
    <w:unhideWhenUsed/>
    <w:pPr>
      <w:pBdr/>
      <w:spacing w:after="0" w:line="240" w:lineRule="auto"/>
      <w:ind/>
    </w:pPr>
    <w:rPr>
      <w:sz w:val="20"/>
      <w:szCs w:val="20"/>
    </w:rPr>
  </w:style>
  <w:style w:type="character" w:styleId="185">
    <w:name w:val="Endnote Text Char"/>
    <w:basedOn w:val="148"/>
    <w:link w:val="184"/>
    <w:uiPriority w:val="99"/>
    <w:semiHidden/>
    <w:pPr>
      <w:pBdr/>
      <w:spacing/>
      <w:ind/>
    </w:pPr>
    <w:rPr>
      <w:sz w:val="20"/>
      <w:szCs w:val="20"/>
    </w:rPr>
  </w:style>
  <w:style w:type="character" w:styleId="186">
    <w:name w:val="endnote reference"/>
    <w:basedOn w:val="148"/>
    <w:uiPriority w:val="99"/>
    <w:semiHidden/>
    <w:unhideWhenUsed/>
    <w:pPr>
      <w:pBdr/>
      <w:spacing/>
      <w:ind/>
    </w:pPr>
    <w:rPr>
      <w:vertAlign w:val="superscript"/>
    </w:rPr>
  </w:style>
  <w:style w:type="character" w:styleId="188">
    <w:name w:val="FollowedHyperlink"/>
    <w:basedOn w:val="148"/>
    <w:uiPriority w:val="99"/>
    <w:semiHidden/>
    <w:unhideWhenUsed/>
    <w:pPr>
      <w:pBdr/>
      <w:spacing/>
      <w:ind/>
    </w:pPr>
    <w:rPr>
      <w:color w:val="954f72" w:themeColor="followedHyperlink"/>
      <w:u w:val="single"/>
    </w:rPr>
  </w:style>
  <w:style w:type="paragraph" w:styleId="189">
    <w:name w:val="toc 1"/>
    <w:basedOn w:val="828"/>
    <w:next w:val="828"/>
    <w:uiPriority w:val="39"/>
    <w:unhideWhenUsed/>
    <w:pPr>
      <w:pBdr/>
      <w:spacing w:after="100"/>
      <w:ind/>
    </w:pPr>
  </w:style>
  <w:style w:type="paragraph" w:styleId="190">
    <w:name w:val="toc 2"/>
    <w:basedOn w:val="828"/>
    <w:next w:val="828"/>
    <w:uiPriority w:val="39"/>
    <w:unhideWhenUsed/>
    <w:pPr>
      <w:pBdr/>
      <w:spacing w:after="100"/>
      <w:ind w:left="220"/>
    </w:pPr>
  </w:style>
  <w:style w:type="paragraph" w:styleId="191">
    <w:name w:val="toc 3"/>
    <w:basedOn w:val="828"/>
    <w:next w:val="828"/>
    <w:uiPriority w:val="39"/>
    <w:unhideWhenUsed/>
    <w:pPr>
      <w:pBdr/>
      <w:spacing w:after="100"/>
      <w:ind w:left="440"/>
    </w:pPr>
  </w:style>
  <w:style w:type="paragraph" w:styleId="192">
    <w:name w:val="toc 4"/>
    <w:basedOn w:val="828"/>
    <w:next w:val="828"/>
    <w:uiPriority w:val="39"/>
    <w:unhideWhenUsed/>
    <w:pPr>
      <w:pBdr/>
      <w:spacing w:after="100"/>
      <w:ind w:left="660"/>
    </w:pPr>
  </w:style>
  <w:style w:type="paragraph" w:styleId="193">
    <w:name w:val="toc 5"/>
    <w:basedOn w:val="828"/>
    <w:next w:val="828"/>
    <w:uiPriority w:val="39"/>
    <w:unhideWhenUsed/>
    <w:pPr>
      <w:pBdr/>
      <w:spacing w:after="100"/>
      <w:ind w:left="880"/>
    </w:pPr>
  </w:style>
  <w:style w:type="paragraph" w:styleId="194">
    <w:name w:val="toc 6"/>
    <w:basedOn w:val="828"/>
    <w:next w:val="828"/>
    <w:uiPriority w:val="39"/>
    <w:unhideWhenUsed/>
    <w:pPr>
      <w:pBdr/>
      <w:spacing w:after="100"/>
      <w:ind w:left="1100"/>
    </w:pPr>
  </w:style>
  <w:style w:type="paragraph" w:styleId="195">
    <w:name w:val="toc 7"/>
    <w:basedOn w:val="828"/>
    <w:next w:val="828"/>
    <w:uiPriority w:val="39"/>
    <w:unhideWhenUsed/>
    <w:pPr>
      <w:pBdr/>
      <w:spacing w:after="100"/>
      <w:ind w:left="1320"/>
    </w:pPr>
  </w:style>
  <w:style w:type="paragraph" w:styleId="196">
    <w:name w:val="toc 8"/>
    <w:basedOn w:val="828"/>
    <w:next w:val="828"/>
    <w:uiPriority w:val="39"/>
    <w:unhideWhenUsed/>
    <w:pPr>
      <w:pBdr/>
      <w:spacing w:after="100"/>
      <w:ind w:left="1540"/>
    </w:pPr>
  </w:style>
  <w:style w:type="paragraph" w:styleId="197">
    <w:name w:val="toc 9"/>
    <w:basedOn w:val="828"/>
    <w:next w:val="828"/>
    <w:uiPriority w:val="39"/>
    <w:unhideWhenUsed/>
    <w:pPr>
      <w:pBdr/>
      <w:spacing w:after="100"/>
      <w:ind w:left="1760"/>
    </w:pPr>
  </w:style>
  <w:style w:type="character" w:styleId="198">
    <w:name w:val="Placeholder Text"/>
    <w:basedOn w:val="148"/>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828"/>
    <w:next w:val="828"/>
    <w:uiPriority w:val="99"/>
    <w:unhideWhenUsed/>
    <w:pPr>
      <w:pBdr/>
      <w:spacing w:after="0" w:afterAutospacing="0"/>
      <w:ind/>
    </w:pPr>
  </w:style>
  <w:style w:type="paragraph" w:styleId="828" w:default="1">
    <w:name w:val="Normal"/>
    <w:next w:val="828"/>
    <w:link w:val="828"/>
    <w:qFormat/>
    <w:pPr>
      <w:pBdr/>
      <w:spacing/>
      <w:ind/>
    </w:pPr>
    <w:rPr>
      <w:lang w:val="pt-BR" w:eastAsia="zh-CN" w:bidi="ar-SA"/>
    </w:rPr>
  </w:style>
  <w:style w:type="paragraph" w:styleId="829">
    <w:name w:val="Título 1"/>
    <w:basedOn w:val="828"/>
    <w:next w:val="828"/>
    <w:link w:val="828"/>
    <w:uiPriority w:val="9"/>
    <w:qFormat/>
    <w:pPr>
      <w:keepNext w:val="true"/>
      <w:numPr>
        <w:ilvl w:val="0"/>
        <w:numId w:val="1"/>
      </w:numPr>
      <w:pBdr/>
      <w:spacing w:after="60" w:before="240"/>
      <w:ind/>
      <w:outlineLvl w:val="0"/>
    </w:pPr>
    <w:rPr>
      <w:rFonts w:ascii="Arial" w:hAnsi="Arial" w:cs="Arial"/>
      <w:b/>
      <w:bCs/>
      <w:sz w:val="32"/>
      <w:szCs w:val="32"/>
      <w:lang w:val="en-US"/>
    </w:rPr>
  </w:style>
  <w:style w:type="paragraph" w:styleId="830">
    <w:name w:val="Título 2"/>
    <w:basedOn w:val="828"/>
    <w:next w:val="828"/>
    <w:link w:val="828"/>
    <w:uiPriority w:val="9"/>
    <w:qFormat/>
    <w:pPr>
      <w:keepNext w:val="true"/>
      <w:widowControl w:val="false"/>
      <w:numPr>
        <w:ilvl w:val="1"/>
        <w:numId w:val="1"/>
      </w:numPr>
      <w:pBdr/>
      <w:tabs>
        <w:tab w:val="left" w:leader="none" w:pos="857"/>
        <w:tab w:val="left" w:leader="none" w:pos="2714"/>
        <w:tab w:val="left" w:leader="none" w:pos="6592"/>
        <w:tab w:val="left" w:leader="none" w:pos="8576"/>
        <w:tab w:val="left" w:leader="none" w:pos="10419"/>
      </w:tabs>
      <w:spacing/>
      <w:ind/>
      <w:jc w:val="center"/>
      <w:outlineLvl w:val="1"/>
    </w:pPr>
    <w:rPr>
      <w:rFonts w:ascii="Arial" w:hAnsi="Arial" w:cs="Arial"/>
      <w:b/>
      <w:color w:val="000000"/>
      <w:sz w:val="22"/>
      <w:lang w:val="en-US"/>
    </w:rPr>
  </w:style>
  <w:style w:type="paragraph" w:styleId="831">
    <w:name w:val="Título 3"/>
    <w:basedOn w:val="828"/>
    <w:next w:val="828"/>
    <w:link w:val="828"/>
    <w:uiPriority w:val="9"/>
    <w:qFormat/>
    <w:pPr>
      <w:keepNext w:val="true"/>
      <w:numPr>
        <w:ilvl w:val="2"/>
        <w:numId w:val="1"/>
      </w:numPr>
      <w:pBdr/>
      <w:spacing w:after="60" w:before="240"/>
      <w:ind/>
      <w:outlineLvl w:val="2"/>
    </w:pPr>
    <w:rPr>
      <w:rFonts w:ascii="Arial" w:hAnsi="Arial" w:cs="Arial"/>
      <w:b/>
      <w:bCs/>
      <w:sz w:val="26"/>
      <w:szCs w:val="26"/>
    </w:rPr>
  </w:style>
  <w:style w:type="paragraph" w:styleId="832">
    <w:name w:val="Título 4"/>
    <w:basedOn w:val="828"/>
    <w:next w:val="828"/>
    <w:link w:val="828"/>
    <w:uiPriority w:val="9"/>
    <w:qFormat/>
    <w:pPr>
      <w:keepNext w:val="true"/>
      <w:numPr>
        <w:ilvl w:val="3"/>
        <w:numId w:val="1"/>
      </w:numPr>
      <w:pBdr/>
      <w:spacing w:after="60" w:before="240"/>
      <w:ind/>
      <w:outlineLvl w:val="3"/>
    </w:pPr>
    <w:rPr>
      <w:b/>
      <w:bCs/>
      <w:sz w:val="28"/>
      <w:szCs w:val="28"/>
    </w:rPr>
  </w:style>
  <w:style w:type="paragraph" w:styleId="833">
    <w:name w:val="Título 5"/>
    <w:basedOn w:val="828"/>
    <w:next w:val="828"/>
    <w:link w:val="828"/>
    <w:uiPriority w:val="9"/>
    <w:qFormat/>
    <w:pPr>
      <w:numPr>
        <w:ilvl w:val="4"/>
        <w:numId w:val="1"/>
      </w:numPr>
      <w:pBdr/>
      <w:spacing w:after="60" w:before="240"/>
      <w:ind/>
      <w:outlineLvl w:val="4"/>
    </w:pPr>
    <w:rPr>
      <w:b/>
      <w:bCs/>
      <w:i/>
      <w:iCs/>
      <w:sz w:val="26"/>
      <w:szCs w:val="26"/>
    </w:rPr>
  </w:style>
  <w:style w:type="paragraph" w:styleId="834">
    <w:name w:val="Título 6"/>
    <w:basedOn w:val="828"/>
    <w:next w:val="828"/>
    <w:link w:val="1070"/>
    <w:uiPriority w:val="9"/>
    <w:semiHidden/>
    <w:unhideWhenUsed/>
    <w:qFormat/>
    <w:pPr>
      <w:keepNext w:val="true"/>
      <w:keepLines w:val="true"/>
      <w:widowControl w:val="false"/>
      <w:pBdr/>
      <w:spacing w:before="40"/>
      <w:ind/>
      <w:outlineLvl w:val="5"/>
    </w:pPr>
    <w:rPr>
      <w:rFonts w:ascii="Arial" w:hAnsi="Arial" w:eastAsia="SimHei" w:cs="Times New Roman"/>
      <w:i/>
      <w:iCs/>
      <w:color w:val="595959"/>
      <w:sz w:val="22"/>
      <w:szCs w:val="22"/>
      <w:lang w:val="pt-PT" w:eastAsia="en-US"/>
    </w:rPr>
  </w:style>
  <w:style w:type="paragraph" w:styleId="835">
    <w:name w:val="Título 7"/>
    <w:basedOn w:val="828"/>
    <w:next w:val="828"/>
    <w:link w:val="1071"/>
    <w:uiPriority w:val="9"/>
    <w:semiHidden/>
    <w:unhideWhenUsed/>
    <w:qFormat/>
    <w:pPr>
      <w:keepNext w:val="true"/>
      <w:keepLines w:val="true"/>
      <w:widowControl w:val="false"/>
      <w:pBdr/>
      <w:spacing w:before="40"/>
      <w:ind/>
      <w:outlineLvl w:val="6"/>
    </w:pPr>
    <w:rPr>
      <w:rFonts w:ascii="Arial" w:hAnsi="Arial" w:eastAsia="SimHei" w:cs="Times New Roman"/>
      <w:color w:val="595959"/>
      <w:sz w:val="22"/>
      <w:szCs w:val="22"/>
      <w:lang w:val="pt-PT" w:eastAsia="en-US"/>
    </w:rPr>
  </w:style>
  <w:style w:type="paragraph" w:styleId="836">
    <w:name w:val="Título 8"/>
    <w:basedOn w:val="828"/>
    <w:next w:val="828"/>
    <w:link w:val="1072"/>
    <w:uiPriority w:val="9"/>
    <w:semiHidden/>
    <w:unhideWhenUsed/>
    <w:qFormat/>
    <w:pPr>
      <w:keepNext w:val="true"/>
      <w:keepLines w:val="true"/>
      <w:widowControl w:val="false"/>
      <w:pBdr/>
      <w:spacing/>
      <w:ind/>
      <w:outlineLvl w:val="7"/>
    </w:pPr>
    <w:rPr>
      <w:rFonts w:ascii="Arial" w:hAnsi="Arial" w:eastAsia="SimHei" w:cs="Times New Roman"/>
      <w:i/>
      <w:iCs/>
      <w:color w:val="262626"/>
      <w:sz w:val="22"/>
      <w:szCs w:val="22"/>
      <w:lang w:val="pt-PT" w:eastAsia="en-US"/>
    </w:rPr>
  </w:style>
  <w:style w:type="paragraph" w:styleId="837">
    <w:name w:val="Título 9"/>
    <w:basedOn w:val="828"/>
    <w:next w:val="828"/>
    <w:link w:val="1073"/>
    <w:uiPriority w:val="9"/>
    <w:semiHidden/>
    <w:unhideWhenUsed/>
    <w:qFormat/>
    <w:pPr>
      <w:keepNext w:val="true"/>
      <w:keepLines w:val="true"/>
      <w:widowControl w:val="false"/>
      <w:pBdr/>
      <w:spacing/>
      <w:ind/>
      <w:outlineLvl w:val="8"/>
    </w:pPr>
    <w:rPr>
      <w:rFonts w:ascii="Arial" w:hAnsi="Arial" w:eastAsia="SimHei" w:cs="Times New Roman"/>
      <w:color w:val="262626"/>
      <w:sz w:val="22"/>
      <w:szCs w:val="22"/>
      <w:lang w:val="pt-PT" w:eastAsia="en-US"/>
    </w:rPr>
  </w:style>
  <w:style w:type="character" w:styleId="838">
    <w:name w:val="Fonte parág. padrão"/>
    <w:next w:val="838"/>
    <w:link w:val="828"/>
    <w:uiPriority w:val="1"/>
    <w:unhideWhenUsed/>
    <w:pPr>
      <w:pBdr/>
      <w:spacing/>
      <w:ind/>
    </w:pPr>
  </w:style>
  <w:style w:type="table" w:styleId="839">
    <w:name w:val="Tabela normal"/>
    <w:next w:val="839"/>
    <w:link w:val="828"/>
    <w:uiPriority w:val="99"/>
    <w:semiHidden/>
    <w:unhideWhenUsed/>
    <w:pPr>
      <w:pBdr/>
      <w:spacing/>
      <w:ind/>
    </w:pPr>
    <w:tblPr>
      <w:tblInd w:w="0" w:type="dxa"/>
      <w:tblW w:w="0" w:type="auto"/>
      <w:tblCellMar>
        <w:left w:w="108" w:type="dxa"/>
        <w:top w:w="0" w:type="dxa"/>
        <w:right w:w="108"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0">
    <w:name w:val="Sem lista"/>
    <w:next w:val="840"/>
    <w:link w:val="828"/>
    <w:uiPriority w:val="99"/>
    <w:semiHidden/>
    <w:unhideWhenUsed/>
    <w:pPr>
      <w:pBdr/>
      <w:spacing/>
      <w:ind/>
    </w:pPr>
  </w:style>
  <w:style w:type="character" w:styleId="841">
    <w:name w:val="WW8Num2z1"/>
    <w:next w:val="841"/>
    <w:link w:val="828"/>
    <w:pPr>
      <w:pBdr/>
      <w:spacing/>
      <w:ind/>
    </w:pPr>
    <w:rPr>
      <w:b/>
      <w:bCs/>
    </w:rPr>
  </w:style>
  <w:style w:type="character" w:styleId="842">
    <w:name w:val="WW8Num2z2"/>
    <w:next w:val="842"/>
    <w:link w:val="828"/>
    <w:pPr>
      <w:pBdr/>
      <w:spacing/>
      <w:ind/>
    </w:pPr>
  </w:style>
  <w:style w:type="character" w:styleId="843">
    <w:name w:val="WW8Num3z0"/>
    <w:next w:val="843"/>
    <w:link w:val="828"/>
    <w:pPr>
      <w:pBdr/>
      <w:spacing/>
      <w:ind/>
    </w:pPr>
    <w:rPr>
      <w:rFonts w:cs="Times New Roman"/>
      <w:b/>
    </w:rPr>
  </w:style>
  <w:style w:type="character" w:styleId="844">
    <w:name w:val="WW8Num4z0"/>
    <w:next w:val="844"/>
    <w:link w:val="828"/>
    <w:pPr>
      <w:pBdr/>
      <w:spacing/>
      <w:ind/>
    </w:pPr>
    <w:rPr>
      <w:b/>
      <w:bCs/>
    </w:rPr>
  </w:style>
  <w:style w:type="character" w:styleId="845">
    <w:name w:val="WW8Num4z2"/>
    <w:next w:val="845"/>
    <w:link w:val="828"/>
    <w:pPr>
      <w:pBdr/>
      <w:spacing/>
      <w:ind/>
    </w:pPr>
  </w:style>
  <w:style w:type="character" w:styleId="846">
    <w:name w:val="WW8Num5z0"/>
    <w:next w:val="846"/>
    <w:link w:val="828"/>
    <w:pPr>
      <w:pBdr/>
      <w:spacing/>
      <w:ind/>
    </w:pPr>
    <w:rPr>
      <w:b/>
      <w:bCs/>
    </w:rPr>
  </w:style>
  <w:style w:type="character" w:styleId="847">
    <w:name w:val="WW8Num5z5"/>
    <w:next w:val="847"/>
    <w:link w:val="828"/>
    <w:pPr>
      <w:pBdr/>
      <w:spacing/>
      <w:ind/>
    </w:pPr>
  </w:style>
  <w:style w:type="character" w:styleId="848">
    <w:name w:val="WW8Num6z0"/>
    <w:next w:val="848"/>
    <w:link w:val="828"/>
    <w:pPr>
      <w:pBdr/>
      <w:spacing/>
      <w:ind/>
    </w:pPr>
  </w:style>
  <w:style w:type="character" w:styleId="849">
    <w:name w:val="WW8Num6z1"/>
    <w:next w:val="849"/>
    <w:link w:val="828"/>
    <w:pPr>
      <w:pBdr/>
      <w:spacing/>
      <w:ind/>
    </w:pPr>
    <w:rPr>
      <w:b/>
      <w:sz w:val="22"/>
    </w:rPr>
  </w:style>
  <w:style w:type="character" w:styleId="850">
    <w:name w:val="WW8Num7z0"/>
    <w:next w:val="850"/>
    <w:link w:val="828"/>
    <w:pPr>
      <w:pBdr/>
      <w:spacing/>
      <w:ind/>
    </w:pPr>
    <w:rPr>
      <w:b/>
    </w:rPr>
  </w:style>
  <w:style w:type="character" w:styleId="851">
    <w:name w:val="WW8Num7z1"/>
    <w:next w:val="851"/>
    <w:link w:val="828"/>
    <w:pPr>
      <w:pBdr/>
      <w:spacing/>
      <w:ind/>
    </w:pPr>
    <w:rPr>
      <w:rFonts w:ascii="Arial" w:hAnsi="Arial" w:cs="Arial"/>
      <w:b w:val="0"/>
      <w:i w:val="0"/>
      <w:strike w:val="0"/>
      <w:color w:val="000000"/>
      <w:sz w:val="20"/>
      <w:szCs w:val="20"/>
      <w:u w:val="none"/>
    </w:rPr>
  </w:style>
  <w:style w:type="character" w:styleId="852">
    <w:name w:val="WW8Num7z2"/>
    <w:next w:val="852"/>
    <w:link w:val="828"/>
    <w:pPr>
      <w:pBdr/>
      <w:spacing/>
      <w:ind/>
    </w:pPr>
    <w:rPr>
      <w:rFonts w:ascii="Arial" w:hAnsi="Arial" w:cs="Arial"/>
      <w:b w:val="0"/>
      <w:i w:val="0"/>
      <w:strike w:val="0"/>
      <w:color w:val="000000"/>
      <w:sz w:val="20"/>
      <w:szCs w:val="20"/>
    </w:rPr>
  </w:style>
  <w:style w:type="character" w:styleId="853">
    <w:name w:val="WW8Num7z3"/>
    <w:next w:val="853"/>
    <w:link w:val="828"/>
    <w:pPr>
      <w:pBdr/>
      <w:spacing/>
      <w:ind/>
    </w:pPr>
  </w:style>
  <w:style w:type="character" w:styleId="854">
    <w:name w:val="WW8Num8z0"/>
    <w:next w:val="854"/>
    <w:link w:val="828"/>
    <w:pPr>
      <w:pBdr/>
      <w:spacing/>
      <w:ind/>
    </w:pPr>
    <w:rPr>
      <w:rFonts w:ascii="Wingdings" w:hAnsi="Wingdings" w:cs="Wingdings"/>
    </w:rPr>
  </w:style>
  <w:style w:type="character" w:styleId="855">
    <w:name w:val="WW8Num8z1"/>
    <w:next w:val="855"/>
    <w:link w:val="828"/>
    <w:pPr>
      <w:pBdr/>
      <w:spacing/>
      <w:ind/>
    </w:pPr>
    <w:rPr>
      <w:rFonts w:ascii="Courier New" w:hAnsi="Courier New" w:cs="Courier New"/>
    </w:rPr>
  </w:style>
  <w:style w:type="character" w:styleId="856">
    <w:name w:val="WW8Num8z3"/>
    <w:next w:val="856"/>
    <w:link w:val="828"/>
    <w:pPr>
      <w:pBdr/>
      <w:spacing/>
      <w:ind/>
    </w:pPr>
    <w:rPr>
      <w:rFonts w:ascii="Symbol" w:hAnsi="Symbol" w:cs="Symbol"/>
    </w:rPr>
  </w:style>
  <w:style w:type="character" w:styleId="857">
    <w:name w:val="WW8Num12z0"/>
    <w:next w:val="857"/>
    <w:link w:val="828"/>
    <w:pPr>
      <w:pBdr/>
      <w:spacing/>
      <w:ind/>
    </w:pPr>
    <w:rPr>
      <w:rFonts w:ascii="Wingdings" w:hAnsi="Wingdings" w:cs="Wingdings"/>
    </w:rPr>
  </w:style>
  <w:style w:type="character" w:styleId="858">
    <w:name w:val="WW8Num12z1"/>
    <w:next w:val="858"/>
    <w:link w:val="828"/>
    <w:pPr>
      <w:pBdr/>
      <w:spacing/>
      <w:ind/>
    </w:pPr>
    <w:rPr>
      <w:rFonts w:ascii="Courier New" w:hAnsi="Courier New" w:cs="Courier New"/>
    </w:rPr>
  </w:style>
  <w:style w:type="character" w:styleId="859">
    <w:name w:val="WW8Num12z3"/>
    <w:next w:val="859"/>
    <w:link w:val="828"/>
    <w:pPr>
      <w:pBdr/>
      <w:spacing/>
      <w:ind/>
    </w:pPr>
    <w:rPr>
      <w:rFonts w:ascii="Symbol" w:hAnsi="Symbol" w:cs="Symbol"/>
    </w:rPr>
  </w:style>
  <w:style w:type="character" w:styleId="860">
    <w:name w:val="WW8Num14z0"/>
    <w:next w:val="860"/>
    <w:link w:val="828"/>
    <w:pPr>
      <w:pBdr/>
      <w:spacing/>
      <w:ind/>
    </w:pPr>
    <w:rPr>
      <w:rFonts w:ascii="Symbol" w:hAnsi="Symbol" w:cs="Symbol"/>
      <w:sz w:val="20"/>
    </w:rPr>
  </w:style>
  <w:style w:type="character" w:styleId="861">
    <w:name w:val="WW8Num14z1"/>
    <w:next w:val="861"/>
    <w:link w:val="828"/>
    <w:pPr>
      <w:pBdr/>
      <w:spacing/>
      <w:ind/>
    </w:pPr>
    <w:rPr>
      <w:rFonts w:ascii="Courier New" w:hAnsi="Courier New" w:cs="Courier New"/>
      <w:sz w:val="20"/>
    </w:rPr>
  </w:style>
  <w:style w:type="character" w:styleId="862">
    <w:name w:val="WW8Num14z2"/>
    <w:next w:val="862"/>
    <w:link w:val="828"/>
    <w:pPr>
      <w:pBdr/>
      <w:spacing/>
      <w:ind/>
    </w:pPr>
    <w:rPr>
      <w:rFonts w:ascii="Wingdings" w:hAnsi="Wingdings" w:cs="Wingdings"/>
      <w:sz w:val="20"/>
    </w:rPr>
  </w:style>
  <w:style w:type="character" w:styleId="863">
    <w:name w:val="WW8Num15z0"/>
    <w:next w:val="863"/>
    <w:link w:val="828"/>
    <w:pPr>
      <w:pBdr/>
      <w:spacing/>
      <w:ind/>
    </w:pPr>
    <w:rPr>
      <w:rFonts w:ascii="Symbol" w:hAnsi="Symbol" w:cs="Symbol"/>
      <w:sz w:val="20"/>
    </w:rPr>
  </w:style>
  <w:style w:type="character" w:styleId="864">
    <w:name w:val="WW8Num15z1"/>
    <w:next w:val="864"/>
    <w:link w:val="828"/>
    <w:pPr>
      <w:pBdr/>
      <w:spacing/>
      <w:ind/>
    </w:pPr>
    <w:rPr>
      <w:rFonts w:ascii="Courier New" w:hAnsi="Courier New" w:cs="Courier New"/>
      <w:sz w:val="20"/>
    </w:rPr>
  </w:style>
  <w:style w:type="character" w:styleId="865">
    <w:name w:val="WW8Num15z2"/>
    <w:next w:val="865"/>
    <w:link w:val="828"/>
    <w:pPr>
      <w:pBdr/>
      <w:spacing/>
      <w:ind/>
    </w:pPr>
    <w:rPr>
      <w:rFonts w:ascii="Wingdings" w:hAnsi="Wingdings" w:cs="Wingdings"/>
      <w:sz w:val="20"/>
    </w:rPr>
  </w:style>
  <w:style w:type="character" w:styleId="866">
    <w:name w:val="WW8Num16z0"/>
    <w:next w:val="866"/>
    <w:link w:val="828"/>
    <w:pPr>
      <w:pBdr/>
      <w:spacing/>
      <w:ind/>
    </w:pPr>
    <w:rPr>
      <w:rFonts w:ascii="Symbol" w:hAnsi="Symbol" w:cs="Symbol"/>
      <w:sz w:val="20"/>
    </w:rPr>
  </w:style>
  <w:style w:type="character" w:styleId="867">
    <w:name w:val="WW8Num16z1"/>
    <w:next w:val="867"/>
    <w:link w:val="828"/>
    <w:pPr>
      <w:pBdr/>
      <w:spacing/>
      <w:ind/>
    </w:pPr>
    <w:rPr>
      <w:rFonts w:ascii="Courier New" w:hAnsi="Courier New" w:cs="Courier New"/>
      <w:sz w:val="20"/>
    </w:rPr>
  </w:style>
  <w:style w:type="character" w:styleId="868">
    <w:name w:val="WW8Num16z2"/>
    <w:next w:val="868"/>
    <w:link w:val="828"/>
    <w:pPr>
      <w:pBdr/>
      <w:spacing/>
      <w:ind/>
    </w:pPr>
    <w:rPr>
      <w:rFonts w:ascii="Wingdings" w:hAnsi="Wingdings" w:cs="Wingdings"/>
      <w:sz w:val="20"/>
    </w:rPr>
  </w:style>
  <w:style w:type="character" w:styleId="869">
    <w:name w:val="WW8Num18z0"/>
    <w:next w:val="869"/>
    <w:link w:val="828"/>
    <w:pPr>
      <w:pBdr/>
      <w:spacing/>
      <w:ind/>
    </w:pPr>
    <w:rPr>
      <w:rFonts w:cs="Times New Roman"/>
    </w:rPr>
  </w:style>
  <w:style w:type="character" w:styleId="870">
    <w:name w:val="WW8Num18z1"/>
    <w:next w:val="870"/>
    <w:link w:val="828"/>
    <w:pPr>
      <w:pBdr/>
      <w:spacing/>
      <w:ind/>
    </w:pPr>
    <w:rPr>
      <w:rFonts w:cs="Times New Roman"/>
      <w:b/>
    </w:rPr>
  </w:style>
  <w:style w:type="character" w:styleId="871">
    <w:name w:val="WW8Num19z0"/>
    <w:next w:val="871"/>
    <w:link w:val="828"/>
    <w:pPr>
      <w:pBdr/>
      <w:spacing/>
      <w:ind/>
    </w:pPr>
    <w:rPr>
      <w:rFonts w:ascii="Symbol" w:hAnsi="Symbol" w:cs="Symbol"/>
      <w:sz w:val="20"/>
    </w:rPr>
  </w:style>
  <w:style w:type="character" w:styleId="872">
    <w:name w:val="WW8Num19z1"/>
    <w:next w:val="872"/>
    <w:link w:val="828"/>
    <w:pPr>
      <w:pBdr/>
      <w:spacing/>
      <w:ind/>
    </w:pPr>
    <w:rPr>
      <w:rFonts w:ascii="Courier New" w:hAnsi="Courier New" w:cs="Courier New"/>
      <w:sz w:val="20"/>
    </w:rPr>
  </w:style>
  <w:style w:type="character" w:styleId="873">
    <w:name w:val="WW8Num19z2"/>
    <w:next w:val="873"/>
    <w:link w:val="828"/>
    <w:pPr>
      <w:pBdr/>
      <w:spacing/>
      <w:ind/>
    </w:pPr>
    <w:rPr>
      <w:rFonts w:ascii="Wingdings" w:hAnsi="Wingdings" w:cs="Wingdings"/>
      <w:sz w:val="20"/>
    </w:rPr>
  </w:style>
  <w:style w:type="character" w:styleId="874">
    <w:name w:val="WW8Num20z0"/>
    <w:next w:val="874"/>
    <w:link w:val="828"/>
    <w:pPr>
      <w:pBdr/>
      <w:spacing/>
      <w:ind/>
    </w:pPr>
    <w:rPr>
      <w:rFonts w:ascii="Symbol" w:hAnsi="Symbol" w:cs="Symbol"/>
      <w:sz w:val="20"/>
    </w:rPr>
  </w:style>
  <w:style w:type="character" w:styleId="875">
    <w:name w:val="WW8Num20z1"/>
    <w:next w:val="875"/>
    <w:link w:val="828"/>
    <w:pPr>
      <w:pBdr/>
      <w:spacing/>
      <w:ind/>
    </w:pPr>
    <w:rPr>
      <w:rFonts w:ascii="Courier New" w:hAnsi="Courier New" w:cs="Courier New"/>
      <w:sz w:val="20"/>
    </w:rPr>
  </w:style>
  <w:style w:type="character" w:styleId="876">
    <w:name w:val="WW8Num20z2"/>
    <w:next w:val="876"/>
    <w:link w:val="828"/>
    <w:pPr>
      <w:pBdr/>
      <w:spacing/>
      <w:ind/>
    </w:pPr>
    <w:rPr>
      <w:rFonts w:ascii="Wingdings" w:hAnsi="Wingdings" w:cs="Wingdings"/>
      <w:sz w:val="20"/>
    </w:rPr>
  </w:style>
  <w:style w:type="character" w:styleId="877">
    <w:name w:val="WW8Num21z0"/>
    <w:next w:val="877"/>
    <w:link w:val="828"/>
    <w:pPr>
      <w:pBdr/>
      <w:spacing/>
      <w:ind/>
    </w:pPr>
    <w:rPr>
      <w:rFonts w:ascii="Wingdings" w:hAnsi="Wingdings" w:cs="Wingdings"/>
    </w:rPr>
  </w:style>
  <w:style w:type="character" w:styleId="878">
    <w:name w:val="WW8Num21z1"/>
    <w:next w:val="878"/>
    <w:link w:val="828"/>
    <w:pPr>
      <w:pBdr/>
      <w:spacing/>
      <w:ind/>
    </w:pPr>
    <w:rPr>
      <w:rFonts w:ascii="Courier New" w:hAnsi="Courier New" w:cs="Courier New"/>
    </w:rPr>
  </w:style>
  <w:style w:type="character" w:styleId="879">
    <w:name w:val="WW8Num21z3"/>
    <w:next w:val="879"/>
    <w:link w:val="828"/>
    <w:pPr>
      <w:pBdr/>
      <w:spacing/>
      <w:ind/>
    </w:pPr>
    <w:rPr>
      <w:rFonts w:ascii="Symbol" w:hAnsi="Symbol" w:cs="Symbol"/>
    </w:rPr>
  </w:style>
  <w:style w:type="character" w:styleId="880">
    <w:name w:val="WW8Num22z0"/>
    <w:next w:val="880"/>
    <w:link w:val="828"/>
    <w:pPr>
      <w:pBdr/>
      <w:spacing/>
      <w:ind/>
    </w:pPr>
    <w:rPr>
      <w:color w:val="000000"/>
    </w:rPr>
  </w:style>
  <w:style w:type="character" w:styleId="881">
    <w:name w:val="WW8Num23z0"/>
    <w:next w:val="881"/>
    <w:link w:val="828"/>
    <w:pPr>
      <w:pBdr/>
      <w:spacing/>
      <w:ind/>
    </w:pPr>
    <w:rPr>
      <w:rFonts w:ascii="Symbol" w:hAnsi="Symbol" w:cs="Symbol"/>
      <w:sz w:val="20"/>
    </w:rPr>
  </w:style>
  <w:style w:type="character" w:styleId="882">
    <w:name w:val="WW8Num23z1"/>
    <w:next w:val="882"/>
    <w:link w:val="828"/>
    <w:pPr>
      <w:pBdr/>
      <w:spacing/>
      <w:ind/>
    </w:pPr>
    <w:rPr>
      <w:rFonts w:ascii="Courier New" w:hAnsi="Courier New" w:cs="Courier New"/>
      <w:sz w:val="20"/>
    </w:rPr>
  </w:style>
  <w:style w:type="character" w:styleId="883">
    <w:name w:val="WW8Num23z2"/>
    <w:next w:val="883"/>
    <w:link w:val="828"/>
    <w:pPr>
      <w:pBdr/>
      <w:spacing/>
      <w:ind/>
    </w:pPr>
    <w:rPr>
      <w:rFonts w:ascii="Wingdings" w:hAnsi="Wingdings" w:cs="Wingdings"/>
      <w:sz w:val="20"/>
    </w:rPr>
  </w:style>
  <w:style w:type="character" w:styleId="884">
    <w:name w:val="Fonte parág. padrão3"/>
    <w:next w:val="884"/>
    <w:link w:val="828"/>
    <w:pPr>
      <w:pBdr/>
      <w:spacing/>
      <w:ind/>
    </w:pPr>
  </w:style>
  <w:style w:type="character" w:styleId="885">
    <w:name w:val="WW8Num1z1"/>
    <w:next w:val="885"/>
    <w:link w:val="828"/>
    <w:pPr>
      <w:pBdr/>
      <w:spacing/>
      <w:ind/>
    </w:pPr>
    <w:rPr>
      <w:b/>
      <w:bCs/>
    </w:rPr>
  </w:style>
  <w:style w:type="character" w:styleId="886">
    <w:name w:val="WW8Num1z2"/>
    <w:next w:val="886"/>
    <w:link w:val="828"/>
    <w:pPr>
      <w:pBdr/>
      <w:spacing/>
      <w:ind/>
    </w:pPr>
  </w:style>
  <w:style w:type="character" w:styleId="887">
    <w:name w:val="WW8Num3z2"/>
    <w:next w:val="887"/>
    <w:link w:val="828"/>
    <w:pPr>
      <w:pBdr/>
      <w:spacing/>
      <w:ind/>
    </w:pPr>
    <w:rPr>
      <w:b/>
    </w:rPr>
  </w:style>
  <w:style w:type="character" w:styleId="888">
    <w:name w:val="WW8Num4z1"/>
    <w:next w:val="888"/>
    <w:link w:val="828"/>
    <w:pPr>
      <w:pBdr/>
      <w:spacing/>
      <w:ind/>
    </w:pPr>
    <w:rPr>
      <w:rFonts w:cs="Times New Roman"/>
    </w:rPr>
  </w:style>
  <w:style w:type="character" w:styleId="889">
    <w:name w:val="WW8Num9z0"/>
    <w:next w:val="889"/>
    <w:link w:val="828"/>
    <w:pPr>
      <w:pBdr/>
      <w:spacing/>
      <w:ind/>
    </w:pPr>
    <w:rPr>
      <w:b/>
      <w:bCs/>
    </w:rPr>
  </w:style>
  <w:style w:type="character" w:styleId="890">
    <w:name w:val="WW8Num9z2"/>
    <w:next w:val="890"/>
    <w:link w:val="828"/>
    <w:pPr>
      <w:pBdr/>
      <w:spacing/>
      <w:ind/>
    </w:pPr>
  </w:style>
  <w:style w:type="character" w:styleId="891">
    <w:name w:val="WW8Num10z0"/>
    <w:next w:val="891"/>
    <w:link w:val="828"/>
    <w:pPr>
      <w:pBdr/>
      <w:spacing/>
      <w:ind/>
    </w:pPr>
    <w:rPr>
      <w:rFonts w:cs="Times New Roman"/>
      <w:b/>
    </w:rPr>
  </w:style>
  <w:style w:type="character" w:styleId="892">
    <w:name w:val="WW8Num10z1"/>
    <w:next w:val="892"/>
    <w:link w:val="828"/>
    <w:pPr>
      <w:pBdr/>
      <w:spacing/>
      <w:ind/>
    </w:pPr>
    <w:rPr>
      <w:rFonts w:cs="Times New Roman"/>
    </w:rPr>
  </w:style>
  <w:style w:type="character" w:styleId="893">
    <w:name w:val="WW8Num11z0"/>
    <w:next w:val="893"/>
    <w:link w:val="828"/>
    <w:pPr>
      <w:pBdr/>
      <w:spacing/>
      <w:ind/>
    </w:pPr>
  </w:style>
  <w:style w:type="character" w:styleId="894">
    <w:name w:val="WW8Num12z5"/>
    <w:next w:val="894"/>
    <w:link w:val="828"/>
    <w:pPr>
      <w:pBdr/>
      <w:spacing/>
      <w:ind/>
    </w:pPr>
  </w:style>
  <w:style w:type="character" w:styleId="895">
    <w:name w:val="WW8Num13z0"/>
    <w:next w:val="895"/>
    <w:link w:val="828"/>
    <w:pPr>
      <w:pBdr/>
      <w:spacing/>
      <w:ind/>
    </w:pPr>
  </w:style>
  <w:style w:type="character" w:styleId="896">
    <w:name w:val="WW8Num17z0"/>
    <w:next w:val="896"/>
    <w:link w:val="828"/>
    <w:pPr>
      <w:pBdr/>
      <w:spacing/>
      <w:ind/>
    </w:pPr>
    <w:rPr>
      <w:rFonts w:cs="Times New Roman"/>
      <w:b/>
    </w:rPr>
  </w:style>
  <w:style w:type="character" w:styleId="897">
    <w:name w:val="WW8Num17z1"/>
    <w:next w:val="897"/>
    <w:link w:val="828"/>
    <w:pPr>
      <w:pBdr/>
      <w:spacing/>
      <w:ind/>
    </w:pPr>
    <w:rPr>
      <w:rFonts w:cs="Times New Roman"/>
    </w:rPr>
  </w:style>
  <w:style w:type="character" w:styleId="898">
    <w:name w:val="WW8Num22z3"/>
    <w:next w:val="898"/>
    <w:link w:val="828"/>
    <w:pPr>
      <w:pBdr/>
      <w:spacing/>
      <w:ind/>
    </w:pPr>
    <w:rPr>
      <w:rFonts w:cs="Times New Roman"/>
      <w:b/>
    </w:rPr>
  </w:style>
  <w:style w:type="character" w:styleId="899">
    <w:name w:val="Fonte parág. padrão2"/>
    <w:next w:val="899"/>
    <w:link w:val="828"/>
    <w:pPr>
      <w:pBdr/>
      <w:spacing/>
      <w:ind/>
    </w:pPr>
  </w:style>
  <w:style w:type="character" w:styleId="900">
    <w:name w:val="Hyperlink"/>
    <w:next w:val="900"/>
    <w:link w:val="828"/>
    <w:uiPriority w:val="6"/>
    <w:qFormat/>
    <w:pPr>
      <w:pBdr/>
      <w:spacing/>
      <w:ind/>
    </w:pPr>
    <w:rPr>
      <w:color w:val="0000ff"/>
      <w:u w:val="single"/>
    </w:rPr>
  </w:style>
  <w:style w:type="character" w:styleId="901">
    <w:name w:val="Número de página"/>
    <w:basedOn w:val="899"/>
    <w:next w:val="901"/>
    <w:link w:val="828"/>
    <w:pPr>
      <w:pBdr/>
      <w:spacing/>
      <w:ind/>
    </w:pPr>
  </w:style>
  <w:style w:type="character" w:styleId="902">
    <w:name w:val="Forte"/>
    <w:next w:val="902"/>
    <w:link w:val="828"/>
    <w:qFormat/>
    <w:pPr>
      <w:pBdr/>
      <w:spacing/>
      <w:ind/>
    </w:pPr>
    <w:rPr>
      <w:b/>
      <w:bCs/>
    </w:rPr>
  </w:style>
  <w:style w:type="character" w:styleId="903">
    <w:name w:val="Título 2 Char"/>
    <w:next w:val="903"/>
    <w:link w:val="828"/>
    <w:uiPriority w:val="9"/>
    <w:qFormat/>
    <w:pPr>
      <w:pBdr/>
      <w:spacing/>
      <w:ind/>
    </w:pPr>
    <w:rPr>
      <w:rFonts w:ascii="Arial" w:hAnsi="Arial" w:eastAsia="Times New Roman" w:cs="Arial"/>
      <w:b/>
      <w:color w:val="000000"/>
      <w:sz w:val="22"/>
    </w:rPr>
  </w:style>
  <w:style w:type="character" w:styleId="904">
    <w:name w:val="Texto sem Formatação Char"/>
    <w:next w:val="904"/>
    <w:link w:val="828"/>
    <w:pPr>
      <w:pBdr/>
      <w:spacing/>
      <w:ind/>
    </w:pPr>
    <w:rPr>
      <w:rFonts w:ascii="Courier New" w:hAnsi="Courier New" w:eastAsia="Times New Roman" w:cs="Courier New"/>
    </w:rPr>
  </w:style>
  <w:style w:type="character" w:styleId="905">
    <w:name w:val="paginarotulo"/>
    <w:basedOn w:val="899"/>
    <w:next w:val="905"/>
    <w:link w:val="828"/>
    <w:pPr>
      <w:pBdr/>
      <w:spacing/>
      <w:ind/>
    </w:pPr>
  </w:style>
  <w:style w:type="character" w:styleId="906">
    <w:name w:val="apple-converted-space"/>
    <w:next w:val="906"/>
    <w:link w:val="828"/>
    <w:pPr>
      <w:pBdr/>
      <w:spacing/>
      <w:ind/>
    </w:pPr>
  </w:style>
  <w:style w:type="character" w:styleId="907">
    <w:name w:val="Cabeçalho Char"/>
    <w:next w:val="907"/>
    <w:link w:val="828"/>
    <w:uiPriority w:val="99"/>
    <w:qFormat/>
    <w:pPr>
      <w:pBdr/>
      <w:spacing/>
      <w:ind/>
    </w:pPr>
    <w:rPr>
      <w:rFonts w:eastAsia="Times New Roman"/>
      <w:lang w:val="en-US"/>
    </w:rPr>
  </w:style>
  <w:style w:type="character" w:styleId="908">
    <w:name w:val="Corpo de texto 3 Char"/>
    <w:next w:val="908"/>
    <w:link w:val="828"/>
    <w:pPr>
      <w:pBdr/>
      <w:spacing/>
      <w:ind/>
    </w:pPr>
    <w:rPr>
      <w:rFonts w:eastAsia="Times New Roman"/>
      <w:sz w:val="16"/>
      <w:szCs w:val="16"/>
      <w:lang w:val="en-US"/>
    </w:rPr>
  </w:style>
  <w:style w:type="character" w:styleId="909">
    <w:name w:val="Parágrafo da Lista Char"/>
    <w:next w:val="909"/>
    <w:link w:val="828"/>
    <w:pPr>
      <w:pBdr/>
      <w:spacing/>
      <w:ind/>
    </w:pPr>
    <w:rPr>
      <w:rFonts w:ascii="Ecofont_Spranq_eco_Sans" w:hAnsi="Ecofont_Spranq_eco_Sans" w:eastAsia="Times New Roman" w:cs="Tahoma"/>
      <w:sz w:val="24"/>
      <w:szCs w:val="24"/>
    </w:rPr>
  </w:style>
  <w:style w:type="character" w:styleId="910">
    <w:name w:val="Rodapé Char"/>
    <w:next w:val="910"/>
    <w:link w:val="828"/>
    <w:uiPriority w:val="99"/>
    <w:qFormat/>
    <w:pPr>
      <w:pBdr/>
      <w:spacing/>
      <w:ind/>
    </w:pPr>
    <w:rPr>
      <w:rFonts w:eastAsia="Times New Roman"/>
      <w:lang w:val="en-US"/>
    </w:rPr>
  </w:style>
  <w:style w:type="character" w:styleId="911">
    <w:name w:val="Texto de nota de rodapé Char"/>
    <w:basedOn w:val="899"/>
    <w:next w:val="911"/>
    <w:link w:val="828"/>
    <w:pPr>
      <w:pBdr/>
      <w:spacing/>
      <w:ind/>
    </w:pPr>
  </w:style>
  <w:style w:type="character" w:styleId="912">
    <w:name w:val="Caracteres de nota de rodapé"/>
    <w:next w:val="912"/>
    <w:link w:val="828"/>
    <w:pPr>
      <w:pBdr/>
      <w:spacing/>
      <w:ind/>
    </w:pPr>
    <w:rPr>
      <w:rFonts w:cs="Times New Roman"/>
      <w:vertAlign w:val="superscript"/>
    </w:rPr>
  </w:style>
  <w:style w:type="character" w:styleId="913">
    <w:name w:val="citação 2 Char"/>
    <w:next w:val="913"/>
    <w:link w:val="828"/>
    <w:pPr>
      <w:pBdr/>
      <w:spacing/>
      <w:ind/>
    </w:pPr>
    <w:rPr>
      <w:rFonts w:ascii="Arial" w:hAnsi="Arial" w:eastAsia="Calibri" w:cs="Tahoma"/>
      <w:i/>
      <w:iCs/>
      <w:color w:val="000000"/>
      <w:shd w:val="clear" w:color="auto" w:fill="ffffcc"/>
    </w:rPr>
  </w:style>
  <w:style w:type="character" w:styleId="914">
    <w:name w:val="Citação Char"/>
    <w:next w:val="914"/>
    <w:link w:val="828"/>
    <w:uiPriority w:val="29"/>
    <w:qFormat/>
    <w:pPr>
      <w:pBdr/>
      <w:spacing/>
      <w:ind/>
    </w:pPr>
    <w:rPr>
      <w:rFonts w:eastAsia="Times New Roman"/>
      <w:i/>
      <w:iCs/>
      <w:color w:val="404040"/>
    </w:rPr>
  </w:style>
  <w:style w:type="character" w:styleId="915">
    <w:name w:val="Ref. de comentário1"/>
    <w:next w:val="915"/>
    <w:link w:val="828"/>
    <w:pPr>
      <w:pBdr/>
      <w:spacing/>
      <w:ind/>
    </w:pPr>
    <w:rPr>
      <w:sz w:val="16"/>
      <w:szCs w:val="16"/>
    </w:rPr>
  </w:style>
  <w:style w:type="character" w:styleId="916">
    <w:name w:val="Texto de comentário Char"/>
    <w:next w:val="916"/>
    <w:link w:val="1100"/>
    <w:uiPriority w:val="99"/>
    <w:qFormat/>
    <w:pPr>
      <w:pBdr/>
      <w:spacing/>
      <w:ind/>
    </w:pPr>
    <w:rPr>
      <w:rFonts w:ascii="Ecofont_Spranq_eco_Sans" w:hAnsi="Ecofont_Spranq_eco_Sans" w:eastAsia="MS Mincho" w:cs="Tahoma"/>
    </w:rPr>
  </w:style>
  <w:style w:type="character" w:styleId="917">
    <w:name w:val="Nivel 2 Char"/>
    <w:next w:val="917"/>
    <w:link w:val="828"/>
    <w:pPr>
      <w:pBdr/>
      <w:spacing/>
      <w:ind/>
    </w:pPr>
    <w:rPr>
      <w:rFonts w:ascii="Arial" w:hAnsi="Arial" w:eastAsia="MS Mincho" w:cs="Arial"/>
      <w:color w:val="000000"/>
    </w:rPr>
  </w:style>
  <w:style w:type="character" w:styleId="918">
    <w:name w:val="Nível 2 -Red Char"/>
    <w:next w:val="918"/>
    <w:link w:val="828"/>
    <w:pPr>
      <w:pBdr/>
      <w:spacing/>
      <w:ind/>
    </w:pPr>
    <w:rPr>
      <w:rFonts w:ascii="Arial" w:hAnsi="Arial" w:eastAsia="MS Mincho" w:cs="Arial"/>
      <w:i/>
      <w:iCs/>
      <w:color w:val="ff0000"/>
    </w:rPr>
  </w:style>
  <w:style w:type="character" w:styleId="919">
    <w:name w:val="Nivel 3 Char"/>
    <w:next w:val="919"/>
    <w:link w:val="828"/>
    <w:pPr>
      <w:pBdr/>
      <w:spacing/>
      <w:ind/>
    </w:pPr>
    <w:rPr>
      <w:rFonts w:ascii="Arial" w:hAnsi="Arial" w:eastAsia="MS Mincho" w:cs="Arial"/>
      <w:color w:val="000000"/>
    </w:rPr>
  </w:style>
  <w:style w:type="character" w:styleId="920">
    <w:name w:val="Nível 3-R Char"/>
    <w:next w:val="920"/>
    <w:link w:val="828"/>
    <w:pPr>
      <w:pBdr/>
      <w:spacing/>
      <w:ind/>
    </w:pPr>
    <w:rPr>
      <w:rFonts w:ascii="Arial" w:hAnsi="Arial" w:eastAsia="MS Mincho" w:cs="Arial"/>
      <w:i/>
      <w:iCs/>
      <w:color w:val="ff0000"/>
    </w:rPr>
  </w:style>
  <w:style w:type="character" w:styleId="921">
    <w:name w:val="Assunto do comentário Char"/>
    <w:next w:val="921"/>
    <w:link w:val="828"/>
    <w:uiPriority w:val="99"/>
    <w:qFormat/>
    <w:pPr>
      <w:pBdr/>
      <w:spacing/>
      <w:ind/>
    </w:pPr>
    <w:rPr>
      <w:rFonts w:ascii="Ecofont_Spranq_eco_Sans" w:hAnsi="Ecofont_Spranq_eco_Sans" w:eastAsia="Times New Roman" w:cs="Tahoma"/>
      <w:b/>
      <w:bCs/>
    </w:rPr>
  </w:style>
  <w:style w:type="character" w:styleId="922">
    <w:name w:val="Nivel 01 Char"/>
    <w:next w:val="922"/>
    <w:link w:val="828"/>
    <w:pPr>
      <w:pBdr/>
      <w:spacing/>
      <w:ind/>
    </w:pPr>
    <w:rPr>
      <w:rFonts w:ascii="Ecofont_Spranq_eco_Sans" w:hAnsi="Ecofont_Spranq_eco_Sans" w:eastAsia="MS Gothic" w:cs="Ecofont_Spranq_eco_Sans"/>
      <w:b/>
      <w:bCs/>
      <w:color w:val="000000"/>
    </w:rPr>
  </w:style>
  <w:style w:type="character" w:styleId="923">
    <w:name w:val="normaltextrun"/>
    <w:next w:val="923"/>
    <w:link w:val="828"/>
    <w:pPr>
      <w:pBdr/>
      <w:spacing/>
      <w:ind/>
    </w:pPr>
  </w:style>
  <w:style w:type="character" w:styleId="924">
    <w:name w:val="eop"/>
    <w:next w:val="924"/>
    <w:link w:val="828"/>
    <w:pPr>
      <w:pBdr/>
      <w:spacing/>
      <w:ind/>
    </w:pPr>
  </w:style>
  <w:style w:type="character" w:styleId="925">
    <w:name w:val="Nivel 4 Char"/>
    <w:next w:val="925"/>
    <w:link w:val="828"/>
    <w:pPr>
      <w:pBdr/>
      <w:spacing/>
      <w:ind/>
    </w:pPr>
    <w:rPr>
      <w:rFonts w:ascii="Arial" w:hAnsi="Arial" w:eastAsia="MS Mincho" w:cs="Arial"/>
    </w:rPr>
  </w:style>
  <w:style w:type="character" w:styleId="926">
    <w:name w:val="Título 1 Char"/>
    <w:next w:val="926"/>
    <w:link w:val="828"/>
    <w:uiPriority w:val="9"/>
    <w:qFormat/>
    <w:pPr>
      <w:pBdr/>
      <w:spacing/>
      <w:ind/>
    </w:pPr>
    <w:rPr>
      <w:rFonts w:ascii="Arial" w:hAnsi="Arial" w:eastAsia="Times New Roman" w:cs="Arial"/>
      <w:b/>
      <w:bCs/>
      <w:sz w:val="32"/>
      <w:szCs w:val="32"/>
      <w:lang w:val="en-US"/>
    </w:rPr>
  </w:style>
  <w:style w:type="character" w:styleId="927">
    <w:name w:val="Título 3 Char"/>
    <w:next w:val="927"/>
    <w:link w:val="828"/>
    <w:uiPriority w:val="9"/>
    <w:qFormat/>
    <w:pPr>
      <w:pBdr/>
      <w:spacing/>
      <w:ind/>
    </w:pPr>
    <w:rPr>
      <w:rFonts w:ascii="Arial" w:hAnsi="Arial" w:eastAsia="Times New Roman" w:cs="Arial"/>
      <w:b/>
      <w:bCs/>
      <w:sz w:val="26"/>
      <w:szCs w:val="26"/>
    </w:rPr>
  </w:style>
  <w:style w:type="character" w:styleId="928">
    <w:name w:val="Título 4 Char"/>
    <w:next w:val="928"/>
    <w:link w:val="828"/>
    <w:uiPriority w:val="9"/>
    <w:qFormat/>
    <w:pPr>
      <w:pBdr/>
      <w:spacing/>
      <w:ind/>
    </w:pPr>
    <w:rPr>
      <w:rFonts w:eastAsia="Times New Roman"/>
      <w:b/>
      <w:bCs/>
      <w:sz w:val="28"/>
      <w:szCs w:val="28"/>
    </w:rPr>
  </w:style>
  <w:style w:type="character" w:styleId="929">
    <w:name w:val="Título 5 Char"/>
    <w:next w:val="929"/>
    <w:link w:val="828"/>
    <w:uiPriority w:val="9"/>
    <w:qFormat/>
    <w:pPr>
      <w:pBdr/>
      <w:spacing/>
      <w:ind/>
    </w:pPr>
    <w:rPr>
      <w:rFonts w:eastAsia="Times New Roman"/>
      <w:b/>
      <w:bCs/>
      <w:i/>
      <w:iCs/>
      <w:sz w:val="26"/>
      <w:szCs w:val="26"/>
    </w:rPr>
  </w:style>
  <w:style w:type="character" w:styleId="930">
    <w:name w:val="Corpo de texto Char"/>
    <w:next w:val="930"/>
    <w:link w:val="828"/>
    <w:uiPriority w:val="1"/>
    <w:qFormat/>
    <w:pPr>
      <w:pBdr/>
      <w:spacing/>
      <w:ind/>
    </w:pPr>
    <w:rPr>
      <w:rFonts w:eastAsia="Times New Roman"/>
    </w:rPr>
  </w:style>
  <w:style w:type="character" w:styleId="931">
    <w:name w:val="Recuo de corpo de texto Char"/>
    <w:next w:val="931"/>
    <w:link w:val="828"/>
    <w:pPr>
      <w:pBdr/>
      <w:spacing/>
      <w:ind/>
    </w:pPr>
    <w:rPr>
      <w:rFonts w:eastAsia="Times New Roman"/>
      <w:sz w:val="24"/>
      <w:szCs w:val="24"/>
      <w:lang w:val="en-US"/>
    </w:rPr>
  </w:style>
  <w:style w:type="character" w:styleId="932">
    <w:name w:val="Recuo de corpo de texto 3 Char"/>
    <w:next w:val="932"/>
    <w:link w:val="828"/>
    <w:pPr>
      <w:pBdr/>
      <w:spacing/>
      <w:ind/>
    </w:pPr>
    <w:rPr>
      <w:rFonts w:ascii="Arial" w:hAnsi="Arial" w:cs="Arial"/>
      <w:sz w:val="24"/>
      <w:lang w:val="en-US"/>
    </w:rPr>
  </w:style>
  <w:style w:type="character" w:styleId="933">
    <w:name w:val="Recuo de corpo de texto 2 Char"/>
    <w:next w:val="933"/>
    <w:link w:val="828"/>
    <w:pPr>
      <w:pBdr/>
      <w:spacing/>
      <w:ind/>
    </w:pPr>
    <w:rPr>
      <w:rFonts w:eastAsia="Times New Roman"/>
    </w:rPr>
  </w:style>
  <w:style w:type="character" w:styleId="934">
    <w:name w:val="Texto de balão Char"/>
    <w:next w:val="934"/>
    <w:link w:val="828"/>
    <w:uiPriority w:val="99"/>
    <w:qFormat/>
    <w:pPr>
      <w:pBdr/>
      <w:spacing/>
      <w:ind/>
    </w:pPr>
    <w:rPr>
      <w:rFonts w:ascii="Tahoma" w:hAnsi="Tahoma" w:eastAsia="Times New Roman" w:cs="Tahoma"/>
      <w:sz w:val="16"/>
      <w:szCs w:val="16"/>
    </w:rPr>
  </w:style>
  <w:style w:type="character" w:styleId="935">
    <w:name w:val="Corpo de texto 2 Char"/>
    <w:next w:val="935"/>
    <w:link w:val="828"/>
    <w:pPr>
      <w:pBdr/>
      <w:spacing/>
      <w:ind/>
    </w:pPr>
    <w:rPr>
      <w:rFonts w:eastAsia="Times New Roman"/>
    </w:rPr>
  </w:style>
  <w:style w:type="character" w:styleId="936">
    <w:name w:val="lrzxr"/>
    <w:next w:val="936"/>
    <w:link w:val="828"/>
    <w:pPr>
      <w:pBdr/>
      <w:spacing/>
      <w:ind/>
    </w:pPr>
  </w:style>
  <w:style w:type="character" w:styleId="937">
    <w:name w:val="theme-text-color-4-3"/>
    <w:next w:val="937"/>
    <w:link w:val="828"/>
    <w:pPr>
      <w:pBdr/>
      <w:spacing/>
      <w:ind/>
    </w:pPr>
  </w:style>
  <w:style w:type="character" w:styleId="938">
    <w:name w:val="Título Char"/>
    <w:next w:val="938"/>
    <w:link w:val="1074"/>
    <w:uiPriority w:val="10"/>
    <w:qFormat/>
    <w:pPr>
      <w:pBdr/>
      <w:spacing/>
      <w:ind/>
    </w:pPr>
    <w:rPr>
      <w:rFonts w:ascii="Calibri Light" w:hAnsi="Calibri Light" w:eastAsia="Times New Roman" w:cs="Times New Roman"/>
      <w:b/>
      <w:bCs/>
      <w:sz w:val="32"/>
      <w:szCs w:val="32"/>
    </w:rPr>
  </w:style>
  <w:style w:type="character" w:styleId="939">
    <w:name w:val="Título Char1"/>
    <w:next w:val="939"/>
    <w:link w:val="828"/>
    <w:pPr>
      <w:pBdr/>
      <w:spacing/>
      <w:ind/>
    </w:pPr>
    <w:rPr>
      <w:rFonts w:ascii="Arial" w:hAnsi="Arial" w:cs="Arial"/>
      <w:b/>
      <w:bCs/>
      <w:sz w:val="22"/>
      <w:szCs w:val="32"/>
    </w:rPr>
  </w:style>
  <w:style w:type="character" w:styleId="940">
    <w:name w:val="Hyperlink2"/>
    <w:next w:val="940"/>
    <w:link w:val="828"/>
    <w:pPr>
      <w:pBdr/>
      <w:spacing/>
      <w:ind/>
    </w:pPr>
    <w:rPr>
      <w:rFonts w:cs="Times New Roman"/>
      <w:color w:val="0000ff"/>
      <w:u w:val="single"/>
    </w:rPr>
  </w:style>
  <w:style w:type="character" w:styleId="941">
    <w:name w:val="vuuxrf"/>
    <w:next w:val="941"/>
    <w:link w:val="828"/>
    <w:pPr>
      <w:pBdr/>
      <w:spacing/>
      <w:ind/>
    </w:pPr>
  </w:style>
  <w:style w:type="character" w:styleId="942">
    <w:name w:val="Citação HTML"/>
    <w:next w:val="942"/>
    <w:link w:val="828"/>
    <w:pPr>
      <w:pBdr/>
      <w:spacing/>
      <w:ind/>
    </w:pPr>
    <w:rPr>
      <w:i/>
      <w:iCs/>
    </w:rPr>
  </w:style>
  <w:style w:type="character" w:styleId="943">
    <w:name w:val="ylgvce"/>
    <w:next w:val="943"/>
    <w:link w:val="828"/>
    <w:pPr>
      <w:pBdr/>
      <w:spacing/>
      <w:ind/>
    </w:pPr>
  </w:style>
  <w:style w:type="character" w:styleId="944">
    <w:name w:val="Fonte parág. padrão6"/>
    <w:next w:val="944"/>
    <w:link w:val="828"/>
    <w:pPr>
      <w:pBdr/>
      <w:spacing/>
      <w:ind/>
    </w:pPr>
  </w:style>
  <w:style w:type="character" w:styleId="945">
    <w:name w:val="Caracteres de nota de fim"/>
    <w:next w:val="945"/>
    <w:link w:val="828"/>
    <w:pPr>
      <w:pBdr/>
      <w:spacing/>
      <w:ind/>
    </w:pPr>
    <w:rPr>
      <w:rFonts w:cs="Times New Roman"/>
      <w:vertAlign w:val="superscript"/>
    </w:rPr>
  </w:style>
  <w:style w:type="character" w:styleId="946">
    <w:name w:val="HiperlinkVisitado"/>
    <w:next w:val="946"/>
    <w:link w:val="828"/>
    <w:uiPriority w:val="99"/>
    <w:pPr>
      <w:pBdr/>
      <w:spacing/>
      <w:ind/>
    </w:pPr>
    <w:rPr>
      <w:color w:val="954f72"/>
      <w:u w:val="single"/>
    </w:rPr>
  </w:style>
  <w:style w:type="character" w:styleId="947">
    <w:name w:val="Ênfase"/>
    <w:next w:val="947"/>
    <w:link w:val="828"/>
    <w:qFormat/>
    <w:pPr>
      <w:pBdr/>
      <w:spacing/>
      <w:ind/>
    </w:pPr>
    <w:rPr>
      <w:i/>
      <w:iCs/>
    </w:rPr>
  </w:style>
  <w:style w:type="character" w:styleId="948">
    <w:name w:val="Texto de nota de fim Char"/>
    <w:basedOn w:val="899"/>
    <w:next w:val="948"/>
    <w:link w:val="828"/>
    <w:pPr>
      <w:pBdr/>
      <w:spacing/>
      <w:ind/>
    </w:pPr>
  </w:style>
  <w:style w:type="character" w:styleId="949">
    <w:name w:val="st"/>
    <w:next w:val="949"/>
    <w:link w:val="828"/>
    <w:pPr>
      <w:pBdr/>
      <w:spacing/>
      <w:ind/>
    </w:pPr>
  </w:style>
  <w:style w:type="character" w:styleId="950">
    <w:name w:val="tex3"/>
    <w:next w:val="950"/>
    <w:link w:val="828"/>
    <w:pPr>
      <w:pBdr/>
      <w:spacing/>
      <w:ind/>
    </w:pPr>
  </w:style>
  <w:style w:type="character" w:styleId="951">
    <w:name w:val="spellingerror"/>
    <w:next w:val="951"/>
    <w:link w:val="828"/>
    <w:pPr>
      <w:pBdr/>
      <w:spacing/>
      <w:ind/>
    </w:pPr>
  </w:style>
  <w:style w:type="character" w:styleId="952">
    <w:name w:val="Fonte parág. padrão1"/>
    <w:next w:val="952"/>
    <w:link w:val="828"/>
    <w:uiPriority w:val="6"/>
    <w:qFormat/>
    <w:pPr>
      <w:pBdr/>
      <w:spacing/>
      <w:ind/>
    </w:pPr>
  </w:style>
  <w:style w:type="character" w:styleId="953">
    <w:name w:val="_xdb"/>
    <w:next w:val="953"/>
    <w:link w:val="828"/>
    <w:pPr>
      <w:pBdr/>
      <w:spacing/>
      <w:ind/>
    </w:pPr>
  </w:style>
  <w:style w:type="character" w:styleId="954">
    <w:name w:val="_xbe"/>
    <w:next w:val="954"/>
    <w:link w:val="828"/>
    <w:pPr>
      <w:pBdr/>
      <w:spacing/>
      <w:ind/>
    </w:pPr>
  </w:style>
  <w:style w:type="character" w:styleId="955">
    <w:name w:val="Ênfase Intensa"/>
    <w:next w:val="955"/>
    <w:link w:val="828"/>
    <w:qFormat/>
    <w:pPr>
      <w:pBdr/>
      <w:spacing/>
      <w:ind/>
    </w:pPr>
    <w:rPr>
      <w:rFonts w:cs="Times New Roman"/>
      <w:b/>
      <w:bCs/>
      <w:i/>
      <w:iCs/>
      <w:color w:val="5b9bd5"/>
    </w:rPr>
  </w:style>
  <w:style w:type="character" w:styleId="956">
    <w:name w:val="hgkelc"/>
    <w:next w:val="956"/>
    <w:link w:val="828"/>
    <w:pPr>
      <w:pBdr/>
      <w:spacing/>
      <w:ind/>
    </w:pPr>
  </w:style>
  <w:style w:type="character" w:styleId="957">
    <w:name w:val="textrun"/>
    <w:next w:val="957"/>
    <w:link w:val="828"/>
    <w:pPr>
      <w:pBdr/>
      <w:spacing/>
      <w:ind/>
    </w:pPr>
  </w:style>
  <w:style w:type="character" w:styleId="958">
    <w:name w:val="WW-Link da Internet"/>
    <w:next w:val="958"/>
    <w:link w:val="828"/>
    <w:pPr>
      <w:pBdr/>
      <w:spacing/>
      <w:ind/>
    </w:pPr>
    <w:rPr>
      <w:color w:val="0563c1"/>
      <w:u w:val="single"/>
    </w:rPr>
  </w:style>
  <w:style w:type="character" w:styleId="959">
    <w:name w:val="Corpo de texto 3 Char1"/>
    <w:next w:val="959"/>
    <w:link w:val="828"/>
    <w:pPr>
      <w:pBdr/>
      <w:spacing/>
      <w:ind/>
    </w:pPr>
    <w:rPr>
      <w:sz w:val="16"/>
      <w:szCs w:val="16"/>
      <w:lang w:eastAsia="zh-CN"/>
    </w:rPr>
  </w:style>
  <w:style w:type="paragraph" w:styleId="960">
    <w:name w:val="Título2"/>
    <w:basedOn w:val="828"/>
    <w:next w:val="961"/>
    <w:link w:val="828"/>
    <w:pPr>
      <w:keepNext w:val="true"/>
      <w:pBdr/>
      <w:spacing w:after="120" w:before="240"/>
      <w:ind/>
    </w:pPr>
    <w:rPr>
      <w:rFonts w:ascii="Liberation Sans" w:hAnsi="Liberation Sans" w:eastAsia="Microsoft YaHei" w:cs="Arial"/>
      <w:sz w:val="28"/>
      <w:szCs w:val="28"/>
    </w:rPr>
  </w:style>
  <w:style w:type="paragraph" w:styleId="961">
    <w:name w:val="Corpo de texto"/>
    <w:basedOn w:val="828"/>
    <w:next w:val="961"/>
    <w:link w:val="828"/>
    <w:uiPriority w:val="1"/>
    <w:qFormat/>
    <w:pPr>
      <w:pBdr/>
      <w:spacing w:after="120" w:before="0"/>
      <w:ind/>
    </w:pPr>
  </w:style>
  <w:style w:type="paragraph" w:styleId="962">
    <w:name w:val="Lista"/>
    <w:basedOn w:val="961"/>
    <w:next w:val="962"/>
    <w:link w:val="828"/>
    <w:qFormat/>
    <w:pPr>
      <w:pBdr/>
      <w:spacing/>
      <w:ind/>
    </w:pPr>
    <w:rPr>
      <w:rFonts w:cs="Arial"/>
    </w:rPr>
  </w:style>
  <w:style w:type="paragraph" w:styleId="963">
    <w:name w:val="Legenda"/>
    <w:basedOn w:val="828"/>
    <w:next w:val="963"/>
    <w:link w:val="828"/>
    <w:qFormat/>
    <w:pPr>
      <w:suppressLineNumbers w:val="true"/>
      <w:pBdr/>
      <w:spacing w:after="120" w:before="120"/>
      <w:ind/>
    </w:pPr>
    <w:rPr>
      <w:rFonts w:cs="Arial"/>
      <w:i/>
      <w:iCs/>
      <w:sz w:val="24"/>
      <w:szCs w:val="24"/>
    </w:rPr>
  </w:style>
  <w:style w:type="paragraph" w:styleId="964">
    <w:name w:val="Índice"/>
    <w:basedOn w:val="828"/>
    <w:next w:val="964"/>
    <w:link w:val="828"/>
    <w:qFormat/>
    <w:pPr>
      <w:suppressLineNumbers w:val="true"/>
      <w:pBdr/>
      <w:spacing/>
      <w:ind/>
    </w:pPr>
    <w:rPr>
      <w:rFonts w:cs="Arial"/>
      <w:lang w:val="en-US" w:bidi="en-US"/>
    </w:rPr>
  </w:style>
  <w:style w:type="paragraph" w:styleId="965">
    <w:name w:val="Título1"/>
    <w:basedOn w:val="828"/>
    <w:next w:val="828"/>
    <w:link w:val="828"/>
    <w:qFormat/>
    <w:pPr>
      <w:pBdr/>
      <w:spacing w:after="60" w:before="240"/>
      <w:ind/>
      <w:jc w:val="both"/>
      <w:outlineLvl w:val="0"/>
    </w:pPr>
    <w:rPr>
      <w:rFonts w:ascii="Arial" w:hAnsi="Arial" w:eastAsia="SimSun" w:cs="Arial"/>
      <w:b/>
      <w:bCs/>
      <w:sz w:val="22"/>
      <w:szCs w:val="32"/>
    </w:rPr>
  </w:style>
  <w:style w:type="paragraph" w:styleId="966">
    <w:name w:val="Cabeçalho e Rodapé"/>
    <w:basedOn w:val="828"/>
    <w:next w:val="966"/>
    <w:link w:val="828"/>
    <w:qFormat/>
    <w:pPr>
      <w:suppressLineNumbers w:val="true"/>
      <w:pBdr/>
      <w:tabs>
        <w:tab w:val="center" w:leader="none" w:pos="4819"/>
        <w:tab w:val="right" w:leader="none" w:pos="9638"/>
      </w:tabs>
      <w:spacing/>
      <w:ind/>
    </w:pPr>
  </w:style>
  <w:style w:type="paragraph" w:styleId="967">
    <w:name w:val="Cabeçalho"/>
    <w:basedOn w:val="828"/>
    <w:next w:val="967"/>
    <w:link w:val="828"/>
    <w:uiPriority w:val="99"/>
    <w:qFormat/>
    <w:pPr>
      <w:widowControl w:val="false"/>
      <w:pBdr/>
      <w:tabs>
        <w:tab w:val="center" w:leader="none" w:pos="4419"/>
        <w:tab w:val="right" w:leader="none" w:pos="8838"/>
      </w:tabs>
      <w:spacing/>
      <w:ind/>
    </w:pPr>
    <w:rPr>
      <w:lang w:val="en-US"/>
    </w:rPr>
  </w:style>
  <w:style w:type="paragraph" w:styleId="968">
    <w:name w:val="Rodapé"/>
    <w:basedOn w:val="828"/>
    <w:next w:val="968"/>
    <w:link w:val="828"/>
    <w:uiPriority w:val="99"/>
    <w:qFormat/>
    <w:pPr>
      <w:widowControl w:val="false"/>
      <w:pBdr/>
      <w:tabs>
        <w:tab w:val="center" w:leader="none" w:pos="4419"/>
        <w:tab w:val="right" w:leader="none" w:pos="8838"/>
      </w:tabs>
      <w:spacing/>
      <w:ind/>
    </w:pPr>
    <w:rPr>
      <w:lang w:val="en-US"/>
    </w:rPr>
  </w:style>
  <w:style w:type="paragraph" w:styleId="969">
    <w:name w:val="Corpo de texto 31"/>
    <w:basedOn w:val="828"/>
    <w:next w:val="969"/>
    <w:link w:val="828"/>
    <w:qFormat/>
    <w:pPr>
      <w:widowControl w:val="false"/>
      <w:pBdr/>
      <w:spacing w:after="120" w:before="0"/>
      <w:ind/>
    </w:pPr>
    <w:rPr>
      <w:sz w:val="16"/>
      <w:szCs w:val="16"/>
      <w:lang w:val="en-US"/>
    </w:rPr>
  </w:style>
  <w:style w:type="paragraph" w:styleId="970">
    <w:name w:val="Recuo de corpo de texto 21"/>
    <w:basedOn w:val="828"/>
    <w:next w:val="970"/>
    <w:link w:val="828"/>
    <w:pPr>
      <w:pBdr/>
      <w:spacing/>
      <w:ind w:right="0" w:hanging="567" w:left="993"/>
      <w:jc w:val="both"/>
    </w:pPr>
    <w:rPr>
      <w:rFonts w:ascii="Arial" w:hAnsi="Arial" w:cs="Arial"/>
      <w:sz w:val="24"/>
      <w:lang w:val="en-US"/>
    </w:rPr>
  </w:style>
  <w:style w:type="paragraph" w:styleId="971">
    <w:name w:val="PADRAO"/>
    <w:next w:val="971"/>
    <w:link w:val="828"/>
    <w:pPr>
      <w:pBdr/>
      <w:spacing/>
      <w:ind/>
      <w:jc w:val="both"/>
    </w:pPr>
    <w:rPr>
      <w:color w:val="000000"/>
      <w:sz w:val="24"/>
      <w:lang w:val="pt-BR" w:eastAsia="zh-CN" w:bidi="ar-SA"/>
    </w:rPr>
  </w:style>
  <w:style w:type="paragraph" w:styleId="972">
    <w:name w:val="Recuo de corpo de texto"/>
    <w:basedOn w:val="828"/>
    <w:next w:val="972"/>
    <w:link w:val="828"/>
    <w:pPr>
      <w:pBdr/>
      <w:spacing w:after="120" w:before="0"/>
      <w:ind w:right="0" w:firstLine="0" w:left="283"/>
    </w:pPr>
    <w:rPr>
      <w:sz w:val="24"/>
      <w:szCs w:val="24"/>
      <w:lang w:val="en-US"/>
    </w:rPr>
  </w:style>
  <w:style w:type="paragraph" w:styleId="973">
    <w:name w:val="Body Text Indent 3"/>
    <w:basedOn w:val="828"/>
    <w:next w:val="973"/>
    <w:link w:val="828"/>
    <w:pPr>
      <w:widowControl w:val="false"/>
      <w:pBdr/>
      <w:spacing/>
      <w:ind w:right="0" w:firstLine="0" w:left="1418"/>
      <w:jc w:val="both"/>
    </w:pPr>
    <w:rPr>
      <w:rFonts w:ascii="Arial" w:hAnsi="Arial" w:cs="Arial"/>
      <w:sz w:val="24"/>
      <w:lang w:val="en-US"/>
    </w:rPr>
  </w:style>
  <w:style w:type="paragraph" w:styleId="974">
    <w:name w:val="Recuo de corpo de texto 31"/>
    <w:basedOn w:val="828"/>
    <w:next w:val="974"/>
    <w:link w:val="828"/>
    <w:pPr>
      <w:pBdr/>
      <w:spacing/>
      <w:ind w:right="0" w:hanging="567" w:left="567"/>
      <w:jc w:val="both"/>
    </w:pPr>
    <w:rPr>
      <w:rFonts w:ascii="Arial" w:hAnsi="Arial" w:cs="Arial"/>
      <w:sz w:val="24"/>
      <w:lang w:val="en-US"/>
    </w:rPr>
  </w:style>
  <w:style w:type="paragraph" w:styleId="975">
    <w:name w:val="Recuo de corpo de texto 22"/>
    <w:basedOn w:val="828"/>
    <w:next w:val="975"/>
    <w:link w:val="828"/>
    <w:pPr>
      <w:pBdr/>
      <w:spacing w:after="120" w:before="0" w:line="480" w:lineRule="auto"/>
      <w:ind w:right="0" w:firstLine="0" w:left="283"/>
    </w:pPr>
  </w:style>
  <w:style w:type="paragraph" w:styleId="976">
    <w:name w:val="Texto de balão"/>
    <w:basedOn w:val="828"/>
    <w:next w:val="976"/>
    <w:link w:val="828"/>
    <w:uiPriority w:val="99"/>
    <w:qFormat/>
    <w:pPr>
      <w:pBdr/>
      <w:spacing/>
      <w:ind/>
    </w:pPr>
    <w:rPr>
      <w:rFonts w:ascii="Tahoma" w:hAnsi="Tahoma" w:cs="Tahoma"/>
      <w:sz w:val="16"/>
      <w:szCs w:val="16"/>
    </w:rPr>
  </w:style>
  <w:style w:type="paragraph" w:styleId="977">
    <w:name w:val="_A010165"/>
    <w:next w:val="977"/>
    <w:link w:val="828"/>
    <w:pPr>
      <w:pBdr/>
      <w:tabs>
        <w:tab w:val="left" w:leader="none" w:pos="584"/>
        <w:tab w:val="left" w:leader="none" w:pos="6560"/>
        <w:tab w:val="left" w:leader="none" w:pos="7133"/>
      </w:tabs>
      <w:spacing/>
      <w:ind/>
      <w:jc w:val="both"/>
    </w:pPr>
    <w:rPr>
      <w:rFonts w:ascii="Arial" w:hAnsi="Arial" w:cs="Arial"/>
      <w:color w:val="000000"/>
      <w:sz w:val="22"/>
      <w:lang w:val="pt-BR" w:eastAsia="zh-CN" w:bidi="ar-SA"/>
    </w:rPr>
  </w:style>
  <w:style w:type="paragraph" w:styleId="978">
    <w:name w:val="Corpo de texto 21"/>
    <w:basedOn w:val="828"/>
    <w:next w:val="978"/>
    <w:link w:val="828"/>
    <w:pPr>
      <w:pBdr/>
      <w:spacing w:after="120" w:before="0" w:line="480" w:lineRule="auto"/>
      <w:ind/>
    </w:pPr>
  </w:style>
  <w:style w:type="paragraph" w:styleId="979">
    <w:name w:val="Default"/>
    <w:next w:val="979"/>
    <w:link w:val="828"/>
    <w:qFormat/>
    <w:pPr>
      <w:pBdr/>
      <w:spacing/>
      <w:ind/>
    </w:pPr>
    <w:rPr>
      <w:rFonts w:ascii="Arial" w:hAnsi="Arial" w:eastAsia="SimSun" w:cs="Arial"/>
      <w:color w:val="000000"/>
      <w:sz w:val="24"/>
      <w:szCs w:val="24"/>
      <w:lang w:val="pt-BR" w:eastAsia="zh-CN" w:bidi="ar-SA"/>
    </w:rPr>
  </w:style>
  <w:style w:type="paragraph" w:styleId="980">
    <w:name w:val="Texto sem Formatação1"/>
    <w:basedOn w:val="828"/>
    <w:next w:val="980"/>
    <w:link w:val="828"/>
    <w:pPr>
      <w:pBdr/>
      <w:spacing/>
      <w:ind/>
    </w:pPr>
    <w:rPr>
      <w:rFonts w:ascii="Courier New" w:hAnsi="Courier New" w:cs="Courier New"/>
      <w:lang w:val="en-US"/>
    </w:rPr>
  </w:style>
  <w:style w:type="paragraph" w:styleId="981">
    <w:name w:val="Parágrafo da Lista"/>
    <w:basedOn w:val="828"/>
    <w:next w:val="981"/>
    <w:link w:val="828"/>
    <w:uiPriority w:val="34"/>
    <w:qFormat/>
    <w:pPr>
      <w:pBdr/>
      <w:spacing w:after="0" w:before="0"/>
      <w:ind w:right="0" w:firstLine="0" w:left="720"/>
      <w:contextualSpacing w:val="true"/>
    </w:pPr>
    <w:rPr>
      <w:rFonts w:ascii="Ecofont_Spranq_eco_Sans" w:hAnsi="Ecofont_Spranq_eco_Sans" w:cs="Tahoma"/>
      <w:sz w:val="24"/>
      <w:szCs w:val="24"/>
    </w:rPr>
  </w:style>
  <w:style w:type="paragraph" w:styleId="982">
    <w:name w:val="tcu_-_rel/voto_-_demais_§§"/>
    <w:basedOn w:val="828"/>
    <w:next w:val="982"/>
    <w:link w:val="828"/>
    <w:pPr>
      <w:pBdr/>
      <w:spacing w:after="280" w:before="280"/>
      <w:ind/>
    </w:pPr>
    <w:rPr>
      <w:rFonts w:eastAsia="SimSun"/>
      <w:sz w:val="24"/>
      <w:szCs w:val="24"/>
    </w:rPr>
  </w:style>
  <w:style w:type="paragraph" w:styleId="983">
    <w:name w:val="Texto de nota de rodapé"/>
    <w:basedOn w:val="828"/>
    <w:next w:val="983"/>
    <w:link w:val="828"/>
    <w:pPr>
      <w:pBdr/>
      <w:spacing/>
      <w:ind/>
    </w:pPr>
    <w:rPr>
      <w:rFonts w:eastAsia="SimSun"/>
    </w:rPr>
  </w:style>
  <w:style w:type="paragraph" w:styleId="984">
    <w:name w:val="Normal (Web)"/>
    <w:basedOn w:val="828"/>
    <w:next w:val="984"/>
    <w:link w:val="828"/>
    <w:uiPriority w:val="99"/>
    <w:qFormat/>
    <w:pPr>
      <w:pBdr/>
      <w:spacing w:after="280" w:before="280"/>
      <w:ind/>
    </w:pPr>
    <w:rPr>
      <w:sz w:val="24"/>
      <w:szCs w:val="24"/>
    </w:rPr>
  </w:style>
  <w:style w:type="paragraph" w:styleId="985">
    <w:name w:val="Citação"/>
    <w:basedOn w:val="828"/>
    <w:next w:val="828"/>
    <w:link w:val="828"/>
    <w:uiPriority w:val="29"/>
    <w:qFormat/>
    <w:pPr>
      <w:pBdr/>
      <w:spacing w:after="160" w:before="200"/>
      <w:ind w:right="864" w:firstLine="0" w:left="864"/>
      <w:jc w:val="center"/>
    </w:pPr>
    <w:rPr>
      <w:i/>
      <w:iCs/>
      <w:color w:val="404040"/>
    </w:rPr>
  </w:style>
  <w:style w:type="paragraph" w:styleId="986">
    <w:name w:val="citação 2"/>
    <w:basedOn w:val="985"/>
    <w:next w:val="986"/>
    <w:link w:val="828"/>
    <w:pPr>
      <w:pBdr>
        <w:top w:val="single" w:color="1f497d" w:sz="4" w:space="1"/>
        <w:left w:val="single" w:color="1f497d" w:sz="4" w:space="4"/>
        <w:bottom w:val="single" w:color="1f497d" w:sz="4" w:space="1"/>
        <w:right w:val="single" w:color="1f497d" w:sz="4" w:space="4"/>
      </w:pBdr>
      <w:shd w:val="clear" w:color="auto" w:fill="ffffcc"/>
      <w:spacing w:after="0" w:before="120"/>
      <w:ind w:right="0" w:firstLine="0" w:left="0"/>
      <w:jc w:val="both"/>
    </w:pPr>
    <w:rPr>
      <w:rFonts w:ascii="Arial" w:hAnsi="Arial" w:eastAsia="Calibri" w:cs="Tahoma"/>
      <w:color w:val="000000"/>
    </w:rPr>
  </w:style>
  <w:style w:type="paragraph" w:styleId="987">
    <w:name w:val="Nivel 01"/>
    <w:basedOn w:val="829"/>
    <w:next w:val="828"/>
    <w:link w:val="828"/>
    <w:pPr>
      <w:keepLines w:val="true"/>
      <w:numPr>
        <w:ilvl w:val="0"/>
        <w:numId w:val="4"/>
      </w:numPr>
      <w:pBdr/>
      <w:tabs>
        <w:tab w:val="left" w:leader="none" w:pos="567"/>
      </w:tabs>
      <w:spacing w:after="0"/>
      <w:ind w:firstLine="0" w:left="720"/>
      <w:jc w:val="both"/>
      <w:outlineLvl w:val="9"/>
    </w:pPr>
    <w:rPr>
      <w:rFonts w:ascii="Ecofont_Spranq_eco_Sans" w:hAnsi="Ecofont_Spranq_eco_Sans" w:eastAsia="MS Gothic" w:cs="Times New Roman"/>
      <w:color w:val="000000"/>
      <w:sz w:val="20"/>
      <w:szCs w:val="20"/>
      <w:lang w:val="pt-BR"/>
    </w:rPr>
  </w:style>
  <w:style w:type="paragraph" w:styleId="988">
    <w:name w:val="Texto de comentário1"/>
    <w:basedOn w:val="828"/>
    <w:next w:val="988"/>
    <w:link w:val="828"/>
    <w:pPr>
      <w:pBdr/>
      <w:spacing/>
      <w:ind/>
    </w:pPr>
    <w:rPr>
      <w:rFonts w:ascii="Ecofont_Spranq_eco_Sans" w:hAnsi="Ecofont_Spranq_eco_Sans" w:eastAsia="MS Mincho" w:cs="Tahoma"/>
    </w:rPr>
  </w:style>
  <w:style w:type="paragraph" w:styleId="989">
    <w:name w:val="Nivel 2"/>
    <w:basedOn w:val="828"/>
    <w:next w:val="989"/>
    <w:link w:val="828"/>
    <w:qFormat/>
    <w:pPr>
      <w:pBdr/>
      <w:spacing w:after="120" w:before="120" w:line="276" w:lineRule="auto"/>
      <w:ind/>
      <w:jc w:val="both"/>
    </w:pPr>
    <w:rPr>
      <w:rFonts w:ascii="Arial" w:hAnsi="Arial" w:eastAsia="MS Mincho" w:cs="Arial"/>
      <w:color w:val="000000"/>
    </w:rPr>
  </w:style>
  <w:style w:type="paragraph" w:styleId="990">
    <w:name w:val="Nivel 3"/>
    <w:basedOn w:val="828"/>
    <w:next w:val="990"/>
    <w:link w:val="828"/>
    <w:pPr>
      <w:pBdr/>
      <w:spacing w:after="120" w:before="120" w:line="276" w:lineRule="auto"/>
      <w:ind w:right="0" w:firstLine="0" w:left="284"/>
      <w:jc w:val="both"/>
    </w:pPr>
    <w:rPr>
      <w:rFonts w:ascii="Arial" w:hAnsi="Arial" w:eastAsia="MS Mincho" w:cs="Arial"/>
      <w:color w:val="000000"/>
    </w:rPr>
  </w:style>
  <w:style w:type="paragraph" w:styleId="991">
    <w:name w:val="Nivel 4"/>
    <w:basedOn w:val="990"/>
    <w:next w:val="991"/>
    <w:link w:val="828"/>
    <w:pPr>
      <w:pBdr/>
      <w:spacing/>
      <w:ind w:right="0" w:firstLine="0" w:left="567"/>
    </w:pPr>
    <w:rPr>
      <w:rFonts w:eastAsia="MS Mincho"/>
      <w:color w:val="000000"/>
    </w:rPr>
  </w:style>
  <w:style w:type="paragraph" w:styleId="992">
    <w:name w:val="Nivel 5"/>
    <w:basedOn w:val="991"/>
    <w:next w:val="992"/>
    <w:link w:val="828"/>
    <w:pPr>
      <w:pBdr/>
      <w:spacing/>
      <w:ind w:right="0" w:firstLine="0" w:left="851"/>
    </w:pPr>
    <w:rPr>
      <w:rFonts w:eastAsia="MS Mincho"/>
    </w:rPr>
  </w:style>
  <w:style w:type="paragraph" w:styleId="993">
    <w:name w:val="Nível 2 -Red"/>
    <w:basedOn w:val="989"/>
    <w:next w:val="993"/>
    <w:link w:val="828"/>
    <w:pPr>
      <w:pBdr/>
      <w:spacing/>
      <w:ind/>
    </w:pPr>
    <w:rPr>
      <w:i/>
      <w:iCs/>
      <w:color w:val="ff0000"/>
    </w:rPr>
  </w:style>
  <w:style w:type="paragraph" w:styleId="994">
    <w:name w:val="Nível 3-R"/>
    <w:basedOn w:val="990"/>
    <w:next w:val="994"/>
    <w:link w:val="828"/>
    <w:pPr>
      <w:pBdr/>
      <w:spacing/>
      <w:ind/>
    </w:pPr>
    <w:rPr>
      <w:i/>
      <w:iCs/>
      <w:color w:val="ff0000"/>
    </w:rPr>
  </w:style>
  <w:style w:type="paragraph" w:styleId="995">
    <w:name w:val="Assunto do comentário"/>
    <w:basedOn w:val="988"/>
    <w:next w:val="988"/>
    <w:link w:val="828"/>
    <w:uiPriority w:val="99"/>
    <w:qFormat/>
    <w:pPr>
      <w:pBdr/>
      <w:spacing/>
      <w:ind/>
    </w:pPr>
    <w:rPr>
      <w:rFonts w:ascii="Times New Roman" w:hAnsi="Times New Roman" w:eastAsia="Times New Roman" w:cs="Times New Roman"/>
      <w:b/>
      <w:bCs/>
    </w:rPr>
  </w:style>
  <w:style w:type="paragraph" w:styleId="996">
    <w:name w:val="Cabeçalho do Sumário"/>
    <w:basedOn w:val="829"/>
    <w:next w:val="828"/>
    <w:link w:val="828"/>
    <w:qFormat/>
    <w:pPr>
      <w:keepLines w:val="true"/>
      <w:numPr>
        <w:ilvl w:val="0"/>
        <w:numId w:val="0"/>
      </w:numPr>
      <w:pBdr/>
      <w:spacing w:after="0" w:before="240" w:line="252" w:lineRule="auto"/>
      <w:ind w:right="0" w:firstLine="0" w:left="0"/>
      <w:outlineLvl w:val="9"/>
    </w:pPr>
    <w:rPr>
      <w:rFonts w:ascii="Calibri" w:hAnsi="Calibri" w:eastAsia="MS Gothic" w:cs="Times New Roman"/>
      <w:b w:val="0"/>
      <w:bCs w:val="0"/>
      <w:color w:val="365f91"/>
      <w:lang w:val="pt-BR"/>
    </w:rPr>
  </w:style>
  <w:style w:type="paragraph" w:styleId="997">
    <w:name w:val="Recuo de corpo de texto 32"/>
    <w:basedOn w:val="828"/>
    <w:next w:val="997"/>
    <w:link w:val="828"/>
    <w:pPr>
      <w:widowControl w:val="false"/>
      <w:pBdr/>
      <w:spacing/>
      <w:ind w:right="0" w:firstLine="0" w:left="1418"/>
      <w:jc w:val="both"/>
    </w:pPr>
    <w:rPr>
      <w:rFonts w:ascii="Arial" w:hAnsi="Arial" w:eastAsia="SimSun" w:cs="Arial"/>
      <w:sz w:val="24"/>
      <w:lang w:val="en-US"/>
    </w:rPr>
  </w:style>
  <w:style w:type="paragraph" w:styleId="998">
    <w:name w:val="Standard"/>
    <w:next w:val="998"/>
    <w:link w:val="828"/>
    <w:pPr>
      <w:pBdr/>
      <w:spacing/>
      <w:ind/>
    </w:pPr>
    <w:rPr>
      <w:rFonts w:ascii="Liberation Serif" w:hAnsi="Liberation Serif" w:eastAsia="NSimSun" w:cs="Arial"/>
      <w:sz w:val="24"/>
      <w:szCs w:val="24"/>
      <w:lang w:val="pt-BR" w:eastAsia="zh-CN" w:bidi="hi-IN"/>
    </w:rPr>
  </w:style>
  <w:style w:type="paragraph" w:styleId="999">
    <w:name w:val="Table Contents"/>
    <w:basedOn w:val="998"/>
    <w:next w:val="999"/>
    <w:link w:val="828"/>
    <w:pPr>
      <w:suppressLineNumbers w:val="true"/>
      <w:pBdr/>
      <w:spacing/>
      <w:ind/>
    </w:pPr>
  </w:style>
  <w:style w:type="paragraph" w:styleId="1000">
    <w:name w:val="Standard (user)"/>
    <w:next w:val="1000"/>
    <w:link w:val="828"/>
    <w:pPr>
      <w:pBdr/>
      <w:spacing/>
      <w:ind/>
    </w:pPr>
    <w:rPr>
      <w:rFonts w:ascii="Liberation Serif" w:hAnsi="Liberation Serif" w:eastAsia="SimSun" w:cs="Liberation Serif"/>
      <w:sz w:val="24"/>
      <w:szCs w:val="24"/>
      <w:lang w:val="pt-BR" w:eastAsia="zh-CN" w:bidi="hi-IN"/>
    </w:rPr>
  </w:style>
  <w:style w:type="paragraph" w:styleId="1001">
    <w:name w:val="Table Paragraph"/>
    <w:basedOn w:val="998"/>
    <w:next w:val="1001"/>
    <w:link w:val="828"/>
    <w:qFormat/>
    <w:pPr>
      <w:pBdr/>
      <w:spacing/>
      <w:ind/>
    </w:pPr>
    <w:rPr>
      <w:rFonts w:ascii="Times New Roman" w:hAnsi="Times New Roman" w:eastAsia="SimSun" w:cs="Times New Roman"/>
      <w:lang w:val="pt-PT" w:bidi="ar-SA"/>
    </w:rPr>
  </w:style>
  <w:style w:type="paragraph" w:styleId="1002">
    <w:name w:val="western"/>
    <w:basedOn w:val="828"/>
    <w:next w:val="1002"/>
    <w:link w:val="828"/>
    <w:pPr>
      <w:pBdr/>
      <w:spacing w:after="280" w:before="280"/>
      <w:ind/>
    </w:pPr>
    <w:rPr>
      <w:sz w:val="24"/>
      <w:szCs w:val="24"/>
      <w:lang w:eastAsia="ja-JP"/>
    </w:rPr>
  </w:style>
  <w:style w:type="paragraph" w:styleId="1003">
    <w:name w:val="Sem Espaçamento"/>
    <w:next w:val="1003"/>
    <w:link w:val="1068"/>
    <w:uiPriority w:val="1"/>
    <w:qFormat/>
    <w:pPr>
      <w:pBdr/>
      <w:spacing/>
      <w:ind/>
    </w:pPr>
    <w:rPr>
      <w:rFonts w:ascii="Calibri" w:hAnsi="Calibri" w:eastAsia="SimSun" w:cs="Calibri"/>
      <w:sz w:val="22"/>
      <w:szCs w:val="22"/>
      <w:lang w:val="pt-BR" w:eastAsia="zh-CN" w:bidi="ar-SA"/>
    </w:rPr>
  </w:style>
  <w:style w:type="paragraph" w:styleId="1004">
    <w:name w:val="Sumário 2"/>
    <w:basedOn w:val="828"/>
    <w:next w:val="828"/>
    <w:link w:val="828"/>
    <w:pPr>
      <w:pBdr/>
      <w:spacing/>
      <w:ind w:right="0" w:firstLine="0" w:left="200"/>
    </w:pPr>
  </w:style>
  <w:style w:type="paragraph" w:styleId="1005">
    <w:name w:val="Sumário 1"/>
    <w:basedOn w:val="828"/>
    <w:next w:val="828"/>
    <w:link w:val="828"/>
    <w:pPr>
      <w:pBdr/>
      <w:tabs>
        <w:tab w:val="right" w:leader="dot" w:pos="9771"/>
      </w:tabs>
      <w:spacing w:after="80" w:before="0"/>
      <w:ind/>
      <w:jc w:val="center"/>
    </w:pPr>
    <w:rPr>
      <w:rFonts w:eastAsia="SimSun"/>
      <w:sz w:val="22"/>
      <w:szCs w:val="22"/>
    </w:rPr>
  </w:style>
  <w:style w:type="paragraph" w:styleId="1006">
    <w:name w:val="Sumário 11"/>
    <w:basedOn w:val="828"/>
    <w:next w:val="828"/>
    <w:link w:val="828"/>
    <w:pPr>
      <w:widowControl w:val="false"/>
      <w:pBdr/>
      <w:spacing w:after="100" w:before="0" w:line="100" w:lineRule="atLeast"/>
      <w:ind/>
    </w:pPr>
    <w:rPr>
      <w:rFonts w:cs="Arial"/>
      <w:sz w:val="24"/>
      <w:szCs w:val="24"/>
    </w:rPr>
  </w:style>
  <w:style w:type="paragraph" w:styleId="1007">
    <w:name w:val="Normal1"/>
    <w:next w:val="1007"/>
    <w:link w:val="828"/>
    <w:pPr>
      <w:pBdr/>
      <w:spacing w:line="100" w:lineRule="atLeast"/>
      <w:ind/>
    </w:pPr>
    <w:rPr>
      <w:rFonts w:eastAsia="SimSun"/>
      <w:lang w:val="pt-BR" w:eastAsia="zh-CN" w:bidi="ar-SA"/>
    </w:rPr>
  </w:style>
  <w:style w:type="paragraph" w:styleId="1008">
    <w:name w:val="Texto de nota de fim"/>
    <w:basedOn w:val="828"/>
    <w:next w:val="1008"/>
    <w:link w:val="828"/>
    <w:pPr>
      <w:pBdr/>
      <w:spacing/>
      <w:ind/>
    </w:pPr>
    <w:rPr>
      <w:rFonts w:eastAsia="SimSun"/>
    </w:rPr>
  </w:style>
  <w:style w:type="paragraph" w:styleId="1009">
    <w:name w:val="x_msoheader"/>
    <w:basedOn w:val="828"/>
    <w:next w:val="1009"/>
    <w:link w:val="828"/>
    <w:pPr>
      <w:pBdr/>
      <w:spacing w:after="280" w:before="280"/>
      <w:ind/>
    </w:pPr>
    <w:rPr>
      <w:rFonts w:eastAsia="SimSun"/>
      <w:sz w:val="24"/>
      <w:szCs w:val="24"/>
    </w:rPr>
  </w:style>
  <w:style w:type="paragraph" w:styleId="1010">
    <w:name w:val="x_msobodytext"/>
    <w:basedOn w:val="828"/>
    <w:next w:val="1010"/>
    <w:link w:val="828"/>
    <w:pPr>
      <w:pBdr/>
      <w:spacing w:after="280" w:before="280"/>
      <w:ind/>
    </w:pPr>
    <w:rPr>
      <w:rFonts w:eastAsia="SimSun"/>
      <w:sz w:val="24"/>
      <w:szCs w:val="24"/>
    </w:rPr>
  </w:style>
  <w:style w:type="paragraph" w:styleId="1011">
    <w:name w:val="x_msoheading9"/>
    <w:basedOn w:val="828"/>
    <w:next w:val="1011"/>
    <w:link w:val="828"/>
    <w:pPr>
      <w:pBdr/>
      <w:spacing w:after="280" w:before="280"/>
      <w:ind/>
    </w:pPr>
    <w:rPr>
      <w:rFonts w:eastAsia="SimSun"/>
      <w:sz w:val="24"/>
      <w:szCs w:val="24"/>
    </w:rPr>
  </w:style>
  <w:style w:type="paragraph" w:styleId="1012">
    <w:name w:val="x_msoheading8"/>
    <w:basedOn w:val="828"/>
    <w:next w:val="1012"/>
    <w:link w:val="828"/>
    <w:pPr>
      <w:pBdr/>
      <w:spacing w:after="280" w:before="280"/>
      <w:ind/>
    </w:pPr>
    <w:rPr>
      <w:rFonts w:eastAsia="SimSun"/>
      <w:sz w:val="24"/>
      <w:szCs w:val="24"/>
    </w:rPr>
  </w:style>
  <w:style w:type="paragraph" w:styleId="1013">
    <w:name w:val="x_msonormal"/>
    <w:basedOn w:val="828"/>
    <w:next w:val="1013"/>
    <w:link w:val="828"/>
    <w:pPr>
      <w:pBdr/>
      <w:spacing w:after="280" w:before="280"/>
      <w:ind/>
    </w:pPr>
    <w:rPr>
      <w:rFonts w:eastAsia="SimSun"/>
      <w:sz w:val="24"/>
      <w:szCs w:val="24"/>
    </w:rPr>
  </w:style>
  <w:style w:type="paragraph" w:styleId="1014">
    <w:name w:val="04partenormativa"/>
    <w:basedOn w:val="828"/>
    <w:next w:val="1014"/>
    <w:link w:val="828"/>
    <w:pPr>
      <w:pBdr/>
      <w:spacing w:after="280" w:before="280"/>
      <w:ind/>
    </w:pPr>
    <w:rPr>
      <w:rFonts w:eastAsia="SimSun"/>
      <w:sz w:val="24"/>
      <w:szCs w:val="24"/>
    </w:rPr>
  </w:style>
  <w:style w:type="paragraph" w:styleId="1015">
    <w:name w:val="paragraph"/>
    <w:basedOn w:val="828"/>
    <w:next w:val="1015"/>
    <w:link w:val="828"/>
    <w:pPr>
      <w:pBdr/>
      <w:spacing w:after="280" w:before="280"/>
      <w:ind/>
    </w:pPr>
    <w:rPr>
      <w:sz w:val="24"/>
      <w:szCs w:val="24"/>
    </w:rPr>
  </w:style>
  <w:style w:type="paragraph" w:styleId="1016">
    <w:name w:val="xl76"/>
    <w:basedOn w:val="828"/>
    <w:next w:val="1016"/>
    <w:link w:val="828"/>
    <w:pPr>
      <w:pBdr>
        <w:top w:val="none" w:color="000000" w:sz="0" w:space="0"/>
        <w:left w:val="none" w:color="000000" w:sz="0" w:space="0"/>
        <w:bottom w:val="none" w:color="000000" w:sz="0" w:space="0"/>
        <w:right w:val="single" w:color="000000" w:sz="8" w:space="0"/>
      </w:pBdr>
      <w:spacing w:after="280" w:before="280"/>
      <w:ind/>
    </w:pPr>
    <w:rPr>
      <w:rFonts w:ascii="Arial" w:hAnsi="Arial" w:eastAsia="SimSun" w:cs="Arial"/>
    </w:rPr>
  </w:style>
  <w:style w:type="paragraph" w:styleId="1017">
    <w:name w:val="xl75"/>
    <w:basedOn w:val="828"/>
    <w:next w:val="1017"/>
    <w:link w:val="828"/>
    <w:pPr>
      <w:pBdr>
        <w:top w:val="none" w:color="000000" w:sz="0" w:space="0"/>
        <w:left w:val="none" w:color="000000" w:sz="0" w:space="0"/>
        <w:bottom w:val="none" w:color="000000" w:sz="0" w:space="0"/>
        <w:right w:val="single" w:color="000000" w:sz="8" w:space="0"/>
      </w:pBdr>
      <w:spacing w:after="280" w:before="280"/>
      <w:ind/>
      <w:jc w:val="center"/>
    </w:pPr>
    <w:rPr>
      <w:rFonts w:ascii="Arial" w:hAnsi="Arial" w:eastAsia="SimSun" w:cs="Arial"/>
    </w:rPr>
  </w:style>
  <w:style w:type="paragraph" w:styleId="1018">
    <w:name w:val="xl74"/>
    <w:basedOn w:val="828"/>
    <w:next w:val="1018"/>
    <w:link w:val="828"/>
    <w:pPr>
      <w:pBdr>
        <w:top w:val="none" w:color="000000" w:sz="0" w:space="0"/>
        <w:left w:val="none" w:color="000000" w:sz="0" w:space="0"/>
        <w:bottom w:val="none" w:color="000000" w:sz="0" w:space="0"/>
        <w:right w:val="single" w:color="000000" w:sz="8" w:space="0"/>
      </w:pBdr>
      <w:spacing w:after="280" w:before="280"/>
      <w:ind/>
    </w:pPr>
    <w:rPr>
      <w:rFonts w:ascii="Arial" w:hAnsi="Arial" w:eastAsia="SimSun" w:cs="Arial"/>
    </w:rPr>
  </w:style>
  <w:style w:type="paragraph" w:styleId="1019">
    <w:name w:val="xl73"/>
    <w:basedOn w:val="828"/>
    <w:next w:val="1019"/>
    <w:link w:val="828"/>
    <w:pPr>
      <w:pBdr>
        <w:top w:val="none" w:color="000000" w:sz="0" w:space="0"/>
        <w:left w:val="none" w:color="000000" w:sz="0" w:space="0"/>
        <w:bottom w:val="none" w:color="000000" w:sz="0" w:space="0"/>
        <w:right w:val="single" w:color="000000" w:sz="8" w:space="0"/>
      </w:pBdr>
      <w:spacing w:after="280" w:before="280"/>
      <w:ind/>
      <w:jc w:val="both"/>
    </w:pPr>
    <w:rPr>
      <w:rFonts w:ascii="Arial" w:hAnsi="Arial" w:eastAsia="SimSun" w:cs="Arial"/>
      <w:sz w:val="19"/>
      <w:szCs w:val="19"/>
    </w:rPr>
  </w:style>
  <w:style w:type="paragraph" w:styleId="1020">
    <w:name w:val="xl72"/>
    <w:basedOn w:val="828"/>
    <w:next w:val="1020"/>
    <w:link w:val="828"/>
    <w:pPr>
      <w:pBdr>
        <w:top w:val="none" w:color="000000" w:sz="0" w:space="0"/>
        <w:left w:val="single" w:color="000000" w:sz="8" w:space="0"/>
        <w:bottom w:val="none" w:color="000000" w:sz="0" w:space="0"/>
        <w:right w:val="single" w:color="000000" w:sz="8" w:space="0"/>
      </w:pBdr>
      <w:spacing w:after="280" w:before="280"/>
      <w:ind/>
    </w:pPr>
    <w:rPr>
      <w:rFonts w:ascii="Arial" w:hAnsi="Arial" w:eastAsia="SimSun" w:cs="Arial"/>
    </w:rPr>
  </w:style>
  <w:style w:type="paragraph" w:styleId="1021">
    <w:name w:val="xl71"/>
    <w:basedOn w:val="828"/>
    <w:next w:val="1021"/>
    <w:link w:val="828"/>
    <w:pPr>
      <w:pBdr>
        <w:top w:val="none" w:color="000000" w:sz="0" w:space="0"/>
        <w:left w:val="none" w:color="000000" w:sz="0" w:space="0"/>
        <w:bottom w:val="single" w:color="000000" w:sz="8" w:space="0"/>
        <w:right w:val="single" w:color="000000" w:sz="8" w:space="0"/>
      </w:pBdr>
      <w:spacing w:after="280" w:before="280"/>
      <w:ind/>
    </w:pPr>
    <w:rPr>
      <w:rFonts w:ascii="Arial" w:hAnsi="Arial" w:eastAsia="SimSun" w:cs="Arial"/>
    </w:rPr>
  </w:style>
  <w:style w:type="paragraph" w:styleId="1022">
    <w:name w:val="xl70"/>
    <w:basedOn w:val="828"/>
    <w:next w:val="1022"/>
    <w:link w:val="828"/>
    <w:pPr>
      <w:pBdr>
        <w:top w:val="none" w:color="000000" w:sz="0" w:space="0"/>
        <w:left w:val="none" w:color="000000" w:sz="0" w:space="0"/>
        <w:bottom w:val="single" w:color="000000" w:sz="8" w:space="0"/>
        <w:right w:val="single" w:color="000000" w:sz="8" w:space="0"/>
      </w:pBdr>
      <w:spacing w:after="280" w:before="280"/>
      <w:ind/>
      <w:jc w:val="both"/>
    </w:pPr>
    <w:rPr>
      <w:rFonts w:ascii="Arial" w:hAnsi="Arial" w:eastAsia="SimSun" w:cs="Arial"/>
      <w:b/>
      <w:bCs/>
      <w:sz w:val="19"/>
      <w:szCs w:val="19"/>
    </w:rPr>
  </w:style>
  <w:style w:type="paragraph" w:styleId="1023">
    <w:name w:val="xl69"/>
    <w:basedOn w:val="828"/>
    <w:next w:val="1023"/>
    <w:link w:val="828"/>
    <w:pPr>
      <w:pBdr>
        <w:top w:val="none" w:color="000000" w:sz="0" w:space="0"/>
        <w:left w:val="none" w:color="000000" w:sz="0" w:space="0"/>
        <w:bottom w:val="single" w:color="000000" w:sz="8" w:space="0"/>
        <w:right w:val="single" w:color="000000" w:sz="8" w:space="0"/>
      </w:pBdr>
      <w:spacing w:after="280" w:before="280"/>
      <w:ind/>
      <w:jc w:val="center"/>
    </w:pPr>
    <w:rPr>
      <w:rFonts w:ascii="Arial" w:hAnsi="Arial" w:eastAsia="SimSun" w:cs="Arial"/>
    </w:rPr>
  </w:style>
  <w:style w:type="paragraph" w:styleId="1024">
    <w:name w:val="xl68"/>
    <w:basedOn w:val="828"/>
    <w:next w:val="1024"/>
    <w:link w:val="828"/>
    <w:pPr>
      <w:pBdr>
        <w:top w:val="none" w:color="000000" w:sz="0" w:space="0"/>
        <w:left w:val="none" w:color="000000" w:sz="0" w:space="0"/>
        <w:bottom w:val="single" w:color="000000" w:sz="8" w:space="0"/>
        <w:right w:val="single" w:color="000000" w:sz="8" w:space="0"/>
      </w:pBdr>
      <w:spacing w:after="280" w:before="280"/>
      <w:ind/>
    </w:pPr>
    <w:rPr>
      <w:rFonts w:ascii="Arial" w:hAnsi="Arial" w:eastAsia="SimSun" w:cs="Arial"/>
    </w:rPr>
  </w:style>
  <w:style w:type="paragraph" w:styleId="1025">
    <w:name w:val="xl67"/>
    <w:basedOn w:val="828"/>
    <w:next w:val="1025"/>
    <w:link w:val="828"/>
    <w:pPr>
      <w:pBdr>
        <w:top w:val="none" w:color="000000" w:sz="0" w:space="0"/>
        <w:left w:val="single" w:color="000000" w:sz="8" w:space="0"/>
        <w:bottom w:val="single" w:color="000000" w:sz="8" w:space="0"/>
        <w:right w:val="single" w:color="000000" w:sz="8" w:space="0"/>
      </w:pBdr>
      <w:spacing w:after="280" w:before="280"/>
      <w:ind/>
    </w:pPr>
    <w:rPr>
      <w:rFonts w:ascii="Arial" w:hAnsi="Arial" w:eastAsia="SimSun" w:cs="Arial"/>
    </w:rPr>
  </w:style>
  <w:style w:type="paragraph" w:styleId="1026">
    <w:name w:val="xl66"/>
    <w:basedOn w:val="828"/>
    <w:next w:val="1026"/>
    <w:link w:val="828"/>
    <w:pPr>
      <w:pBdr/>
      <w:spacing w:after="280" w:before="280"/>
      <w:ind/>
      <w:jc w:val="both"/>
    </w:pPr>
    <w:rPr>
      <w:rFonts w:ascii="Arial" w:hAnsi="Arial" w:eastAsia="SimSun" w:cs="Arial"/>
      <w:b/>
      <w:bCs/>
    </w:rPr>
  </w:style>
  <w:style w:type="paragraph" w:styleId="1027">
    <w:name w:val="xl65"/>
    <w:basedOn w:val="828"/>
    <w:next w:val="1027"/>
    <w:link w:val="828"/>
    <w:pPr>
      <w:pBdr/>
      <w:spacing w:after="280" w:before="280"/>
      <w:ind/>
    </w:pPr>
    <w:rPr>
      <w:rFonts w:ascii="Arial" w:hAnsi="Arial" w:eastAsia="SimSun" w:cs="Arial"/>
      <w:b/>
      <w:bCs/>
    </w:rPr>
  </w:style>
  <w:style w:type="paragraph" w:styleId="1028">
    <w:name w:val="font8"/>
    <w:basedOn w:val="828"/>
    <w:next w:val="1028"/>
    <w:link w:val="828"/>
    <w:pPr>
      <w:pBdr/>
      <w:spacing w:after="280" w:before="280"/>
      <w:ind/>
    </w:pPr>
    <w:rPr>
      <w:rFonts w:ascii="Arial" w:hAnsi="Arial" w:eastAsia="SimSun" w:cs="Arial"/>
      <w:color w:val="000000"/>
      <w:sz w:val="19"/>
      <w:szCs w:val="19"/>
    </w:rPr>
  </w:style>
  <w:style w:type="paragraph" w:styleId="1029">
    <w:name w:val="font7"/>
    <w:basedOn w:val="828"/>
    <w:next w:val="1029"/>
    <w:link w:val="828"/>
    <w:pPr>
      <w:pBdr/>
      <w:spacing w:after="280" w:before="280"/>
      <w:ind/>
    </w:pPr>
    <w:rPr>
      <w:rFonts w:ascii="Arial" w:hAnsi="Arial" w:eastAsia="SimSun" w:cs="Arial"/>
      <w:b/>
      <w:bCs/>
      <w:color w:val="000000"/>
      <w:sz w:val="19"/>
      <w:szCs w:val="19"/>
    </w:rPr>
  </w:style>
  <w:style w:type="paragraph" w:styleId="1030">
    <w:name w:val="font6"/>
    <w:basedOn w:val="828"/>
    <w:next w:val="1030"/>
    <w:link w:val="828"/>
    <w:pPr>
      <w:pBdr/>
      <w:spacing w:after="280" w:before="280"/>
      <w:ind/>
    </w:pPr>
    <w:rPr>
      <w:rFonts w:ascii="Arial" w:hAnsi="Arial" w:eastAsia="SimSun" w:cs="Arial"/>
      <w:color w:val="000000"/>
    </w:rPr>
  </w:style>
  <w:style w:type="paragraph" w:styleId="1031">
    <w:name w:val="font5"/>
    <w:basedOn w:val="828"/>
    <w:next w:val="1031"/>
    <w:link w:val="828"/>
    <w:pPr>
      <w:pBdr/>
      <w:spacing w:after="280" w:before="280"/>
      <w:ind/>
    </w:pPr>
    <w:rPr>
      <w:rFonts w:ascii="Arial" w:hAnsi="Arial" w:eastAsia="SimSun" w:cs="Arial"/>
      <w:b/>
      <w:bCs/>
      <w:color w:val="000000"/>
    </w:rPr>
  </w:style>
  <w:style w:type="paragraph" w:styleId="1032">
    <w:name w:val="xl77"/>
    <w:basedOn w:val="828"/>
    <w:next w:val="1032"/>
    <w:link w:val="828"/>
    <w:pPr>
      <w:pBdr>
        <w:top w:val="single" w:color="000000" w:sz="4" w:space="0"/>
        <w:left w:val="none" w:color="000000" w:sz="0" w:space="0"/>
        <w:bottom w:val="single" w:color="000000" w:sz="4" w:space="0"/>
        <w:right w:val="single" w:color="000000" w:sz="4" w:space="0"/>
      </w:pBdr>
      <w:spacing w:after="280" w:before="280"/>
      <w:ind/>
    </w:pPr>
    <w:rPr>
      <w:rFonts w:ascii="Arial" w:hAnsi="Arial" w:eastAsia="SimSun" w:cs="Arial"/>
      <w:b/>
      <w:bCs/>
    </w:rPr>
  </w:style>
  <w:style w:type="paragraph" w:styleId="1033">
    <w:name w:val="xl78"/>
    <w:basedOn w:val="828"/>
    <w:next w:val="1033"/>
    <w:link w:val="828"/>
    <w:pPr>
      <w:pBdr>
        <w:top w:val="none" w:color="000000" w:sz="0" w:space="0"/>
        <w:left w:val="none" w:color="000000" w:sz="0" w:space="0"/>
        <w:bottom w:val="single" w:color="000000" w:sz="8" w:space="0"/>
        <w:right w:val="single" w:color="000000" w:sz="8" w:space="0"/>
      </w:pBdr>
      <w:spacing w:after="280" w:before="280"/>
      <w:ind/>
      <w:jc w:val="both"/>
    </w:pPr>
    <w:rPr>
      <w:rFonts w:ascii="Arial" w:hAnsi="Arial" w:eastAsia="SimSun" w:cs="Arial"/>
      <w:sz w:val="19"/>
      <w:szCs w:val="19"/>
    </w:rPr>
  </w:style>
  <w:style w:type="paragraph" w:styleId="1034">
    <w:name w:val="xl79"/>
    <w:basedOn w:val="828"/>
    <w:next w:val="1034"/>
    <w:link w:val="828"/>
    <w:pPr>
      <w:pBdr>
        <w:top w:val="none" w:color="000000" w:sz="0" w:space="0"/>
        <w:left w:val="none" w:color="000000" w:sz="0" w:space="0"/>
        <w:bottom w:val="single" w:color="000000" w:sz="8" w:space="0"/>
        <w:right w:val="single" w:color="000000" w:sz="8" w:space="0"/>
      </w:pBdr>
      <w:spacing w:after="280" w:before="280"/>
      <w:ind/>
      <w:jc w:val="both"/>
    </w:pPr>
    <w:rPr>
      <w:rFonts w:ascii="Arial" w:hAnsi="Arial" w:eastAsia="SimSun" w:cs="Arial"/>
    </w:rPr>
  </w:style>
  <w:style w:type="paragraph" w:styleId="1035">
    <w:name w:val="xl80"/>
    <w:basedOn w:val="828"/>
    <w:next w:val="1035"/>
    <w:link w:val="828"/>
    <w:pPr>
      <w:pBdr>
        <w:top w:val="none" w:color="000000" w:sz="0" w:space="0"/>
        <w:left w:val="none" w:color="000000" w:sz="0" w:space="0"/>
        <w:bottom w:val="single" w:color="000000" w:sz="8" w:space="0"/>
        <w:right w:val="single" w:color="000000" w:sz="8" w:space="0"/>
      </w:pBdr>
      <w:spacing w:after="280" w:before="280"/>
      <w:ind/>
    </w:pPr>
    <w:rPr>
      <w:rFonts w:ascii="Arial" w:hAnsi="Arial" w:eastAsia="SimSun" w:cs="Arial"/>
      <w:b/>
      <w:bCs/>
    </w:rPr>
  </w:style>
  <w:style w:type="paragraph" w:styleId="1036">
    <w:name w:val="xl81"/>
    <w:basedOn w:val="828"/>
    <w:next w:val="1036"/>
    <w:link w:val="828"/>
    <w:pPr>
      <w:pBdr/>
      <w:spacing w:after="280" w:before="280"/>
      <w:ind/>
      <w:jc w:val="center"/>
    </w:pPr>
    <w:rPr>
      <w:rFonts w:ascii="Arial" w:hAnsi="Arial" w:eastAsia="SimSun" w:cs="Arial"/>
      <w:b/>
      <w:bCs/>
    </w:rPr>
  </w:style>
  <w:style w:type="paragraph" w:styleId="1037">
    <w:name w:val="xl82"/>
    <w:basedOn w:val="828"/>
    <w:next w:val="1037"/>
    <w:link w:val="828"/>
    <w:pPr>
      <w:pBdr/>
      <w:spacing w:after="280" w:before="280"/>
      <w:ind/>
      <w:jc w:val="center"/>
    </w:pPr>
    <w:rPr>
      <w:rFonts w:ascii="Arial" w:hAnsi="Arial" w:eastAsia="SimSun" w:cs="Arial"/>
    </w:rPr>
  </w:style>
  <w:style w:type="paragraph" w:styleId="1038">
    <w:name w:val="xl83"/>
    <w:basedOn w:val="828"/>
    <w:next w:val="1038"/>
    <w:link w:val="828"/>
    <w:pPr>
      <w:pBdr/>
      <w:spacing w:after="280" w:before="280"/>
      <w:ind/>
      <w:jc w:val="both"/>
    </w:pPr>
    <w:rPr>
      <w:rFonts w:ascii="Arial" w:hAnsi="Arial" w:eastAsia="SimSun" w:cs="Arial"/>
    </w:rPr>
  </w:style>
  <w:style w:type="paragraph" w:styleId="1039">
    <w:name w:val="xl84"/>
    <w:basedOn w:val="828"/>
    <w:next w:val="1039"/>
    <w:link w:val="828"/>
    <w:pPr>
      <w:pBdr/>
      <w:spacing w:after="280" w:before="280"/>
      <w:ind/>
      <w:jc w:val="both"/>
    </w:pPr>
    <w:rPr>
      <w:rFonts w:ascii="Arial" w:hAnsi="Arial" w:eastAsia="SimSun" w:cs="Arial"/>
      <w:b/>
      <w:bCs/>
    </w:rPr>
  </w:style>
  <w:style w:type="paragraph" w:styleId="1040">
    <w:name w:val="xl85"/>
    <w:basedOn w:val="828"/>
    <w:next w:val="1040"/>
    <w:link w:val="828"/>
    <w:pPr>
      <w:pBdr>
        <w:top w:val="none" w:color="000000" w:sz="0"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41">
    <w:name w:val="xl86"/>
    <w:basedOn w:val="828"/>
    <w:next w:val="1041"/>
    <w:link w:val="828"/>
    <w:pPr>
      <w:pBdr>
        <w:top w:val="single" w:color="000000" w:sz="8" w:space="0"/>
        <w:left w:val="single" w:color="000000" w:sz="8" w:space="0"/>
        <w:bottom w:val="single" w:color="000000" w:sz="8" w:space="0"/>
        <w:right w:val="none" w:color="000000" w:sz="0" w:space="0"/>
      </w:pBdr>
      <w:spacing w:after="280" w:before="280"/>
      <w:ind/>
      <w:jc w:val="both"/>
    </w:pPr>
    <w:rPr>
      <w:rFonts w:ascii="Arial" w:hAnsi="Arial" w:eastAsia="SimSun" w:cs="Arial"/>
      <w:b/>
      <w:bCs/>
    </w:rPr>
  </w:style>
  <w:style w:type="paragraph" w:styleId="1042">
    <w:name w:val="xl87"/>
    <w:basedOn w:val="828"/>
    <w:next w:val="1042"/>
    <w:link w:val="828"/>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43">
    <w:name w:val="xl88"/>
    <w:basedOn w:val="828"/>
    <w:next w:val="1043"/>
    <w:link w:val="828"/>
    <w:pPr>
      <w:pBdr>
        <w:top w:val="single" w:color="000000" w:sz="8" w:space="0"/>
        <w:left w:val="none" w:color="000000" w:sz="0" w:space="0"/>
        <w:bottom w:val="single" w:color="000000" w:sz="8" w:space="0"/>
        <w:right w:val="single" w:color="000000" w:sz="8" w:space="0"/>
      </w:pBdr>
      <w:spacing w:after="280" w:before="280"/>
      <w:ind/>
      <w:jc w:val="both"/>
    </w:pPr>
    <w:rPr>
      <w:rFonts w:ascii="Arial" w:hAnsi="Arial" w:eastAsia="SimSun" w:cs="Arial"/>
      <w:b/>
      <w:bCs/>
    </w:rPr>
  </w:style>
  <w:style w:type="paragraph" w:styleId="1044">
    <w:name w:val="xl89"/>
    <w:basedOn w:val="828"/>
    <w:next w:val="1044"/>
    <w:link w:val="828"/>
    <w:pPr>
      <w:pBdr>
        <w:top w:val="single" w:color="000000" w:sz="4" w:space="0"/>
        <w:left w:val="single" w:color="000000" w:sz="4" w:space="0"/>
        <w:bottom w:val="single" w:color="000000" w:sz="4" w:space="0"/>
        <w:right w:val="none" w:color="000000" w:sz="0" w:space="0"/>
      </w:pBdr>
      <w:spacing w:after="280" w:before="280"/>
      <w:ind/>
      <w:jc w:val="center"/>
    </w:pPr>
    <w:rPr>
      <w:rFonts w:eastAsia="SimSun"/>
      <w:b/>
      <w:bCs/>
      <w:sz w:val="24"/>
      <w:szCs w:val="24"/>
    </w:rPr>
  </w:style>
  <w:style w:type="paragraph" w:styleId="1045">
    <w:name w:val="xl90"/>
    <w:basedOn w:val="828"/>
    <w:next w:val="1045"/>
    <w:link w:val="828"/>
    <w:pPr>
      <w:pBdr>
        <w:top w:val="single" w:color="000000" w:sz="4" w:space="0"/>
        <w:left w:val="none" w:color="000000" w:sz="0" w:space="0"/>
        <w:bottom w:val="single" w:color="000000" w:sz="4" w:space="0"/>
        <w:right w:val="none" w:color="000000" w:sz="0" w:space="0"/>
      </w:pBdr>
      <w:spacing w:after="280" w:before="280"/>
      <w:ind/>
      <w:jc w:val="center"/>
    </w:pPr>
    <w:rPr>
      <w:rFonts w:eastAsia="SimSun"/>
      <w:b/>
      <w:bCs/>
      <w:sz w:val="24"/>
      <w:szCs w:val="24"/>
    </w:rPr>
  </w:style>
  <w:style w:type="paragraph" w:styleId="1046">
    <w:name w:val="xl91"/>
    <w:basedOn w:val="828"/>
    <w:next w:val="1046"/>
    <w:link w:val="828"/>
    <w:pPr>
      <w:pBdr>
        <w:top w:val="single" w:color="000000" w:sz="4" w:space="0"/>
        <w:left w:val="none" w:color="000000" w:sz="0" w:space="0"/>
        <w:bottom w:val="single" w:color="000000" w:sz="4" w:space="0"/>
        <w:right w:val="single" w:color="000000" w:sz="4" w:space="0"/>
      </w:pBdr>
      <w:spacing w:after="280" w:before="280"/>
      <w:ind/>
      <w:jc w:val="center"/>
    </w:pPr>
    <w:rPr>
      <w:rFonts w:eastAsia="SimSun"/>
      <w:b/>
      <w:bCs/>
      <w:sz w:val="24"/>
      <w:szCs w:val="24"/>
    </w:rPr>
  </w:style>
  <w:style w:type="paragraph" w:styleId="1047">
    <w:name w:val="xl92"/>
    <w:basedOn w:val="828"/>
    <w:next w:val="1047"/>
    <w:link w:val="828"/>
    <w:pPr>
      <w:pBdr>
        <w:top w:val="single" w:color="000000" w:sz="8" w:space="0"/>
        <w:left w:val="single" w:color="000000" w:sz="4" w:space="0"/>
        <w:bottom w:val="single" w:color="000000" w:sz="4" w:space="0"/>
        <w:right w:val="none" w:color="000000" w:sz="0" w:space="0"/>
      </w:pBdr>
      <w:spacing w:after="280" w:before="280"/>
      <w:ind/>
      <w:jc w:val="center"/>
    </w:pPr>
    <w:rPr>
      <w:rFonts w:eastAsia="SimSun"/>
      <w:b/>
      <w:bCs/>
      <w:sz w:val="24"/>
      <w:szCs w:val="24"/>
    </w:rPr>
  </w:style>
  <w:style w:type="paragraph" w:styleId="1048">
    <w:name w:val="xl93"/>
    <w:basedOn w:val="828"/>
    <w:next w:val="1048"/>
    <w:link w:val="828"/>
    <w:pPr>
      <w:pBdr>
        <w:top w:val="single" w:color="000000" w:sz="8" w:space="0"/>
        <w:left w:val="none" w:color="000000" w:sz="0" w:space="0"/>
        <w:bottom w:val="single" w:color="000000" w:sz="4" w:space="0"/>
        <w:right w:val="none" w:color="000000" w:sz="0" w:space="0"/>
      </w:pBdr>
      <w:spacing w:after="280" w:before="280"/>
      <w:ind/>
      <w:jc w:val="center"/>
    </w:pPr>
    <w:rPr>
      <w:rFonts w:eastAsia="SimSun"/>
      <w:b/>
      <w:bCs/>
      <w:sz w:val="24"/>
      <w:szCs w:val="24"/>
    </w:rPr>
  </w:style>
  <w:style w:type="paragraph" w:styleId="1049">
    <w:name w:val="xl94"/>
    <w:basedOn w:val="828"/>
    <w:next w:val="1049"/>
    <w:link w:val="828"/>
    <w:pPr>
      <w:pBdr>
        <w:top w:val="single" w:color="000000" w:sz="8" w:space="0"/>
        <w:left w:val="none" w:color="000000" w:sz="0" w:space="0"/>
        <w:bottom w:val="single" w:color="000000" w:sz="4" w:space="0"/>
        <w:right w:val="single" w:color="000000" w:sz="4" w:space="0"/>
      </w:pBdr>
      <w:spacing w:after="280" w:before="280"/>
      <w:ind/>
      <w:jc w:val="center"/>
    </w:pPr>
    <w:rPr>
      <w:rFonts w:eastAsia="SimSun"/>
      <w:b/>
      <w:bCs/>
      <w:sz w:val="24"/>
      <w:szCs w:val="24"/>
    </w:rPr>
  </w:style>
  <w:style w:type="paragraph" w:styleId="1050">
    <w:name w:val="xl95"/>
    <w:basedOn w:val="828"/>
    <w:next w:val="1050"/>
    <w:link w:val="828"/>
    <w:pPr>
      <w:pBdr>
        <w:top w:val="single" w:color="000000" w:sz="4"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51">
    <w:name w:val="xl96"/>
    <w:basedOn w:val="828"/>
    <w:next w:val="1051"/>
    <w:link w:val="828"/>
    <w:pPr>
      <w:pBdr>
        <w:top w:val="single" w:color="000000" w:sz="4" w:space="0"/>
        <w:left w:val="none" w:color="000000" w:sz="0"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052">
    <w:name w:val="xl97"/>
    <w:basedOn w:val="828"/>
    <w:next w:val="1052"/>
    <w:link w:val="828"/>
    <w:pPr>
      <w:pBdr>
        <w:top w:val="single" w:color="000000" w:sz="8" w:space="0"/>
        <w:left w:val="single" w:color="000000" w:sz="8"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053">
    <w:name w:val="xl98"/>
    <w:basedOn w:val="828"/>
    <w:next w:val="1053"/>
    <w:link w:val="828"/>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054">
    <w:name w:val="xl99"/>
    <w:basedOn w:val="828"/>
    <w:next w:val="1054"/>
    <w:link w:val="828"/>
    <w:pPr>
      <w:pBdr>
        <w:top w:val="single" w:color="000000" w:sz="8" w:space="0"/>
        <w:left w:val="none" w:color="000000" w:sz="0" w:space="0"/>
        <w:bottom w:val="single" w:color="000000" w:sz="8" w:space="0"/>
        <w:right w:val="single" w:color="000000" w:sz="8" w:space="0"/>
      </w:pBdr>
      <w:spacing w:after="280" w:before="280"/>
      <w:ind/>
      <w:jc w:val="both"/>
    </w:pPr>
    <w:rPr>
      <w:rFonts w:ascii="Arial" w:hAnsi="Arial" w:eastAsia="SimSun" w:cs="Arial"/>
      <w:b/>
      <w:bCs/>
      <w:sz w:val="19"/>
      <w:szCs w:val="19"/>
    </w:rPr>
  </w:style>
  <w:style w:type="paragraph" w:styleId="1055">
    <w:name w:val="xl100"/>
    <w:basedOn w:val="828"/>
    <w:next w:val="1055"/>
    <w:link w:val="828"/>
    <w:pPr>
      <w:pBdr/>
      <w:spacing w:after="280" w:before="280"/>
      <w:ind/>
      <w:jc w:val="center"/>
    </w:pPr>
    <w:rPr>
      <w:rFonts w:ascii="Arial" w:hAnsi="Arial" w:eastAsia="SimSun" w:cs="Arial"/>
      <w:b/>
      <w:bCs/>
    </w:rPr>
  </w:style>
  <w:style w:type="paragraph" w:styleId="1056">
    <w:name w:val="xl101"/>
    <w:basedOn w:val="828"/>
    <w:next w:val="1056"/>
    <w:link w:val="828"/>
    <w:pPr>
      <w:pBdr>
        <w:top w:val="single" w:color="000000" w:sz="8" w:space="0"/>
        <w:left w:val="single" w:color="000000" w:sz="8" w:space="0"/>
        <w:bottom w:val="single" w:color="000000" w:sz="8" w:space="0"/>
        <w:right w:val="none" w:color="000000" w:sz="0" w:space="0"/>
      </w:pBdr>
      <w:spacing w:after="280" w:before="280"/>
      <w:ind/>
      <w:jc w:val="center"/>
    </w:pPr>
    <w:rPr>
      <w:rFonts w:eastAsia="SimSun"/>
      <w:b/>
      <w:bCs/>
      <w:sz w:val="24"/>
      <w:szCs w:val="24"/>
    </w:rPr>
  </w:style>
  <w:style w:type="paragraph" w:styleId="1057">
    <w:name w:val="xl102"/>
    <w:basedOn w:val="828"/>
    <w:next w:val="1057"/>
    <w:link w:val="828"/>
    <w:pPr>
      <w:pBdr>
        <w:top w:val="single" w:color="000000" w:sz="8" w:space="0"/>
        <w:left w:val="none" w:color="000000" w:sz="0" w:space="0"/>
        <w:bottom w:val="single" w:color="000000" w:sz="8" w:space="0"/>
        <w:right w:val="none" w:color="000000" w:sz="0" w:space="0"/>
      </w:pBdr>
      <w:spacing w:after="280" w:before="280"/>
      <w:ind/>
      <w:jc w:val="center"/>
    </w:pPr>
    <w:rPr>
      <w:rFonts w:eastAsia="SimSun"/>
      <w:b/>
      <w:bCs/>
      <w:sz w:val="24"/>
      <w:szCs w:val="24"/>
    </w:rPr>
  </w:style>
  <w:style w:type="paragraph" w:styleId="1058">
    <w:name w:val="xl103"/>
    <w:basedOn w:val="828"/>
    <w:next w:val="1058"/>
    <w:link w:val="828"/>
    <w:pPr>
      <w:pBdr>
        <w:top w:val="single" w:color="000000" w:sz="8" w:space="0"/>
        <w:left w:val="none" w:color="000000" w:sz="0" w:space="0"/>
        <w:bottom w:val="single" w:color="000000" w:sz="8" w:space="0"/>
        <w:right w:val="single" w:color="000000" w:sz="4" w:space="0"/>
      </w:pBdr>
      <w:spacing w:after="280" w:before="280"/>
      <w:ind/>
      <w:jc w:val="center"/>
    </w:pPr>
    <w:rPr>
      <w:rFonts w:eastAsia="SimSun"/>
      <w:b/>
      <w:bCs/>
      <w:sz w:val="24"/>
      <w:szCs w:val="24"/>
    </w:rPr>
  </w:style>
  <w:style w:type="paragraph" w:styleId="1059">
    <w:name w:val="xl104"/>
    <w:basedOn w:val="828"/>
    <w:next w:val="1059"/>
    <w:link w:val="828"/>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60">
    <w:name w:val="xl105"/>
    <w:basedOn w:val="828"/>
    <w:next w:val="1060"/>
    <w:link w:val="828"/>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061">
    <w:name w:val="xl106"/>
    <w:basedOn w:val="828"/>
    <w:next w:val="1061"/>
    <w:link w:val="828"/>
    <w:pPr>
      <w:pBdr>
        <w:top w:val="single" w:color="000000" w:sz="8" w:space="0"/>
        <w:left w:val="none" w:color="000000" w:sz="0" w:space="0"/>
        <w:bottom w:val="single" w:color="000000" w:sz="8" w:space="0"/>
        <w:right w:val="single" w:color="000000" w:sz="4" w:space="0"/>
      </w:pBdr>
      <w:spacing w:after="280" w:before="280"/>
      <w:ind/>
      <w:jc w:val="center"/>
    </w:pPr>
    <w:rPr>
      <w:rFonts w:eastAsia="SimSun"/>
      <w:b/>
      <w:bCs/>
      <w:sz w:val="24"/>
      <w:szCs w:val="24"/>
    </w:rPr>
  </w:style>
  <w:style w:type="paragraph" w:styleId="1062">
    <w:name w:val="xl107"/>
    <w:basedOn w:val="828"/>
    <w:next w:val="1062"/>
    <w:link w:val="828"/>
    <w:pPr>
      <w:pBdr>
        <w:top w:val="single" w:color="000000" w:sz="8" w:space="0"/>
        <w:left w:val="none" w:color="000000" w:sz="0" w:space="0"/>
        <w:bottom w:val="none" w:color="000000" w:sz="0" w:space="0"/>
        <w:right w:val="none" w:color="000000" w:sz="0" w:space="0"/>
      </w:pBdr>
      <w:spacing w:after="280" w:before="280"/>
      <w:ind/>
      <w:jc w:val="both"/>
    </w:pPr>
    <w:rPr>
      <w:rFonts w:ascii="Arial" w:hAnsi="Arial" w:eastAsia="SimSun" w:cs="Arial"/>
    </w:rPr>
  </w:style>
  <w:style w:type="paragraph" w:styleId="1063">
    <w:name w:val="Texto sem Formatação2"/>
    <w:basedOn w:val="828"/>
    <w:next w:val="1063"/>
    <w:link w:val="828"/>
    <w:pPr>
      <w:pBdr/>
      <w:spacing/>
      <w:ind/>
      <w:jc w:val="both"/>
    </w:pPr>
    <w:rPr>
      <w:rFonts w:ascii="Courier New" w:hAnsi="Courier New" w:eastAsia="SimSun" w:cs="Courier New"/>
      <w:lang w:eastAsia="zh-CN"/>
    </w:rPr>
  </w:style>
  <w:style w:type="paragraph" w:styleId="1064">
    <w:name w:val="Conteúdo da tabela"/>
    <w:basedOn w:val="828"/>
    <w:next w:val="1064"/>
    <w:link w:val="828"/>
    <w:qFormat/>
    <w:pPr>
      <w:widowControl w:val="false"/>
      <w:suppressLineNumbers w:val="true"/>
      <w:pBdr/>
      <w:spacing/>
      <w:ind/>
    </w:pPr>
  </w:style>
  <w:style w:type="paragraph" w:styleId="1065">
    <w:name w:val="Título de tabela"/>
    <w:basedOn w:val="1064"/>
    <w:next w:val="1065"/>
    <w:link w:val="828"/>
    <w:pPr>
      <w:suppressLineNumbers w:val="true"/>
      <w:pBdr/>
      <w:spacing/>
      <w:ind/>
      <w:jc w:val="center"/>
    </w:pPr>
    <w:rPr>
      <w:b/>
      <w:bCs/>
    </w:rPr>
  </w:style>
  <w:style w:type="paragraph" w:styleId="1066">
    <w:name w:val="Corpo de texto 32"/>
    <w:basedOn w:val="828"/>
    <w:next w:val="1066"/>
    <w:link w:val="828"/>
    <w:pPr>
      <w:widowControl w:val="false"/>
      <w:pBdr/>
      <w:spacing w:after="120" w:before="0"/>
      <w:ind/>
    </w:pPr>
    <w:rPr>
      <w:sz w:val="16"/>
      <w:szCs w:val="16"/>
      <w:lang w:val="en-US"/>
    </w:rPr>
  </w:style>
  <w:style w:type="table" w:styleId="1067">
    <w:name w:val="Tabela com grade"/>
    <w:basedOn w:val="839"/>
    <w:next w:val="1067"/>
    <w:link w:val="828"/>
    <w:uiPriority w:val="39"/>
    <w:qFormat/>
    <w:pPr>
      <w:widowControl w:val="false"/>
      <w:pBdr/>
      <w:spacing/>
      <w:ind/>
    </w:pPr>
    <w:rPr>
      <w:rFonts w:ascii="Arial" w:hAnsi="Arial" w:eastAsia="Arial" w:cs="Arial"/>
      <w:sz w:val="22"/>
      <w:szCs w:val="22"/>
      <w:lang w:eastAsia="zh-CN"/>
    </w:rPr>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68">
    <w:name w:val="Sem Espaçamento Char"/>
    <w:next w:val="1068"/>
    <w:link w:val="1003"/>
    <w:uiPriority w:val="1"/>
    <w:pPr>
      <w:pBdr/>
      <w:spacing/>
      <w:ind/>
    </w:pPr>
    <w:rPr>
      <w:rFonts w:ascii="Calibri" w:hAnsi="Calibri" w:eastAsia="SimSun" w:cs="Calibri"/>
      <w:sz w:val="22"/>
      <w:szCs w:val="22"/>
      <w:lang w:eastAsia="zh-CN"/>
    </w:rPr>
  </w:style>
  <w:style w:type="numbering" w:styleId="1069">
    <w:name w:val="Estilo1"/>
    <w:next w:val="1069"/>
    <w:link w:val="828"/>
    <w:pPr>
      <w:numPr>
        <w:numId w:val="5"/>
      </w:numPr>
      <w:pBdr/>
      <w:spacing/>
      <w:ind/>
    </w:pPr>
  </w:style>
  <w:style w:type="character" w:styleId="1070">
    <w:name w:val="Título 6 Char"/>
    <w:next w:val="1070"/>
    <w:link w:val="834"/>
    <w:uiPriority w:val="9"/>
    <w:semiHidden/>
    <w:qFormat/>
    <w:pPr>
      <w:pBdr/>
      <w:spacing/>
      <w:ind/>
    </w:pPr>
    <w:rPr>
      <w:rFonts w:ascii="Arial" w:hAnsi="Arial" w:eastAsia="SimHei"/>
      <w:i/>
      <w:iCs/>
      <w:color w:val="595959"/>
      <w:sz w:val="22"/>
      <w:szCs w:val="22"/>
      <w:lang w:val="pt-PT" w:eastAsia="en-US"/>
    </w:rPr>
  </w:style>
  <w:style w:type="character" w:styleId="1071">
    <w:name w:val="Título 7 Char"/>
    <w:next w:val="1071"/>
    <w:link w:val="835"/>
    <w:uiPriority w:val="9"/>
    <w:semiHidden/>
    <w:qFormat/>
    <w:pPr>
      <w:pBdr/>
      <w:spacing/>
      <w:ind/>
    </w:pPr>
    <w:rPr>
      <w:rFonts w:ascii="Arial" w:hAnsi="Arial" w:eastAsia="SimHei"/>
      <w:color w:val="595959"/>
      <w:sz w:val="22"/>
      <w:szCs w:val="22"/>
      <w:lang w:val="pt-PT" w:eastAsia="en-US"/>
    </w:rPr>
  </w:style>
  <w:style w:type="character" w:styleId="1072">
    <w:name w:val="Título 8 Char"/>
    <w:next w:val="1072"/>
    <w:link w:val="836"/>
    <w:uiPriority w:val="9"/>
    <w:semiHidden/>
    <w:qFormat/>
    <w:pPr>
      <w:pBdr/>
      <w:spacing/>
      <w:ind/>
    </w:pPr>
    <w:rPr>
      <w:rFonts w:ascii="Arial" w:hAnsi="Arial" w:eastAsia="SimHei"/>
      <w:i/>
      <w:iCs/>
      <w:color w:val="262626"/>
      <w:sz w:val="22"/>
      <w:szCs w:val="22"/>
      <w:lang w:val="pt-PT" w:eastAsia="en-US"/>
    </w:rPr>
  </w:style>
  <w:style w:type="character" w:styleId="1073">
    <w:name w:val="Título 9 Char"/>
    <w:next w:val="1073"/>
    <w:link w:val="837"/>
    <w:uiPriority w:val="9"/>
    <w:semiHidden/>
    <w:qFormat/>
    <w:pPr>
      <w:pBdr/>
      <w:spacing/>
      <w:ind/>
    </w:pPr>
    <w:rPr>
      <w:rFonts w:ascii="Arial" w:hAnsi="Arial" w:eastAsia="SimHei"/>
      <w:color w:val="262626"/>
      <w:sz w:val="22"/>
      <w:szCs w:val="22"/>
      <w:lang w:val="pt-PT" w:eastAsia="en-US"/>
    </w:rPr>
  </w:style>
  <w:style w:type="paragraph" w:styleId="1074">
    <w:name w:val="Título"/>
    <w:basedOn w:val="828"/>
    <w:next w:val="828"/>
    <w:link w:val="938"/>
    <w:uiPriority w:val="10"/>
    <w:qFormat/>
    <w:pPr>
      <w:widowControl w:val="false"/>
      <w:pBdr/>
      <w:spacing w:after="80"/>
      <w:ind/>
      <w:contextualSpacing w:val="true"/>
    </w:pPr>
    <w:rPr>
      <w:rFonts w:ascii="Calibri Light" w:hAnsi="Calibri Light"/>
      <w:b/>
      <w:bCs/>
      <w:sz w:val="32"/>
      <w:szCs w:val="32"/>
      <w:lang w:eastAsia="pt-BR"/>
    </w:rPr>
  </w:style>
  <w:style w:type="character" w:styleId="1075">
    <w:name w:val="Título Char2"/>
    <w:next w:val="1075"/>
    <w:link w:val="828"/>
    <w:uiPriority w:val="10"/>
    <w:pPr>
      <w:pBdr/>
      <w:spacing/>
      <w:ind/>
    </w:pPr>
    <w:rPr>
      <w:rFonts w:ascii="Calibri Light" w:hAnsi="Calibri Light" w:eastAsia="Times New Roman" w:cs="Times New Roman"/>
      <w:b/>
      <w:bCs/>
      <w:sz w:val="32"/>
      <w:szCs w:val="32"/>
      <w:lang w:eastAsia="zh-CN"/>
    </w:rPr>
  </w:style>
  <w:style w:type="paragraph" w:styleId="1076">
    <w:name w:val="Assinatura"/>
    <w:basedOn w:val="828"/>
    <w:next w:val="1076"/>
    <w:link w:val="1077"/>
    <w:qFormat/>
    <w:pPr>
      <w:widowControl w:val="false"/>
      <w:suppressLineNumbers w:val="true"/>
      <w:pBdr/>
      <w:spacing/>
      <w:ind/>
    </w:pPr>
    <w:rPr>
      <w:rFonts w:ascii="Arial" w:hAnsi="Arial" w:eastAsia="Arial" w:cs="Arial"/>
      <w:sz w:val="22"/>
      <w:szCs w:val="22"/>
      <w:lang w:val="pt-PT" w:eastAsia="en-US"/>
    </w:rPr>
  </w:style>
  <w:style w:type="character" w:styleId="1077">
    <w:name w:val="Assinatura Char"/>
    <w:next w:val="1077"/>
    <w:link w:val="1076"/>
    <w:uiPriority w:val="99"/>
    <w:pPr>
      <w:pBdr/>
      <w:spacing/>
      <w:ind/>
    </w:pPr>
    <w:rPr>
      <w:rFonts w:ascii="Arial" w:hAnsi="Arial" w:eastAsia="Arial" w:cs="Arial"/>
      <w:sz w:val="22"/>
      <w:szCs w:val="22"/>
      <w:lang w:val="pt-PT" w:eastAsia="en-US"/>
    </w:rPr>
  </w:style>
  <w:style w:type="paragraph" w:styleId="1078">
    <w:name w:val="LO-normal"/>
    <w:next w:val="1078"/>
    <w:link w:val="828"/>
    <w:qFormat/>
    <w:pPr>
      <w:pBdr/>
      <w:spacing/>
      <w:ind/>
    </w:pPr>
    <w:rPr>
      <w:rFonts w:eastAsia="NSimSun" w:cs="Lucida Sans"/>
      <w:lang w:val="pt-BR" w:eastAsia="zh-CN" w:bidi="hi-IN"/>
    </w:rPr>
  </w:style>
  <w:style w:type="paragraph" w:styleId="1079">
    <w:name w:val="Subtítulo"/>
    <w:basedOn w:val="828"/>
    <w:next w:val="828"/>
    <w:link w:val="1080"/>
    <w:uiPriority w:val="11"/>
    <w:qFormat/>
    <w:pPr>
      <w:widowControl w:val="false"/>
      <w:pBdr/>
      <w:spacing/>
      <w:ind/>
    </w:pPr>
    <w:rPr>
      <w:rFonts w:ascii="Arial" w:hAnsi="Arial" w:eastAsia="Arial" w:cs="Arial"/>
      <w:color w:val="595959"/>
      <w:sz w:val="28"/>
      <w:szCs w:val="28"/>
      <w:lang w:val="pt-PT" w:eastAsia="en-US"/>
    </w:rPr>
  </w:style>
  <w:style w:type="character" w:styleId="1080">
    <w:name w:val="Subtítulo Char"/>
    <w:next w:val="1080"/>
    <w:link w:val="1079"/>
    <w:uiPriority w:val="11"/>
    <w:qFormat/>
    <w:pPr>
      <w:pBdr/>
      <w:spacing/>
      <w:ind/>
    </w:pPr>
    <w:rPr>
      <w:rFonts w:ascii="Arial" w:hAnsi="Arial" w:eastAsia="Arial" w:cs="Arial"/>
      <w:color w:val="595959"/>
      <w:sz w:val="28"/>
      <w:szCs w:val="28"/>
      <w:lang w:val="pt-PT" w:eastAsia="en-US"/>
    </w:rPr>
  </w:style>
  <w:style w:type="table" w:styleId="1081">
    <w:name w:val="Table Normal"/>
    <w:next w:val="1081"/>
    <w:link w:val="828"/>
    <w:qFormat/>
    <w:pPr>
      <w:pBdr/>
      <w:spacing/>
      <w:ind/>
    </w:pPr>
    <w:rPr>
      <w:rFonts w:eastAsia="SimSun"/>
      <w:lang w:val="pt-BR" w:eastAsia="pt-BR" w:bidi="ar-SA"/>
    </w:rPr>
    <w:tblPr>
      <w:tblW w:w="0" w:type="auto"/>
      <w:tblCellMar>
        <w:left w:w="0" w:type="dxa"/>
        <w:top w:w="0" w:type="dxa"/>
        <w:right w:w="0"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82">
    <w:name w:val="Ênfase Intensa1"/>
    <w:next w:val="1082"/>
    <w:link w:val="828"/>
    <w:uiPriority w:val="21"/>
    <w:qFormat/>
    <w:pPr>
      <w:pBdr/>
      <w:spacing/>
      <w:ind/>
    </w:pPr>
    <w:rPr>
      <w:i/>
      <w:iCs/>
      <w:color w:val="2f5496"/>
    </w:rPr>
  </w:style>
  <w:style w:type="character" w:styleId="1083">
    <w:name w:val="Citação Intensa Char"/>
    <w:next w:val="1083"/>
    <w:link w:val="1084"/>
    <w:uiPriority w:val="30"/>
    <w:qFormat/>
    <w:pPr>
      <w:pBdr/>
      <w:spacing/>
      <w:ind/>
    </w:pPr>
    <w:rPr>
      <w:i/>
      <w:iCs/>
      <w:color w:val="2f5496"/>
    </w:rPr>
  </w:style>
  <w:style w:type="paragraph" w:styleId="1084">
    <w:name w:val="Citação Intensa"/>
    <w:basedOn w:val="828"/>
    <w:next w:val="828"/>
    <w:link w:val="1083"/>
    <w:uiPriority w:val="30"/>
    <w:qFormat/>
    <w:pPr>
      <w:widowControl w:val="false"/>
      <w:pBdr>
        <w:top w:val="single" w:color="2f5496" w:sz="4" w:space="10"/>
        <w:bottom w:val="single" w:color="2f5496" w:sz="4" w:space="10"/>
      </w:pBdr>
      <w:spacing w:after="360" w:before="360"/>
      <w:ind w:right="864" w:left="864"/>
      <w:jc w:val="center"/>
    </w:pPr>
    <w:rPr>
      <w:i/>
      <w:iCs/>
      <w:color w:val="2f5496"/>
      <w:lang w:eastAsia="pt-BR"/>
    </w:rPr>
  </w:style>
  <w:style w:type="character" w:styleId="1085">
    <w:name w:val="Citação Intensa Char1"/>
    <w:next w:val="1085"/>
    <w:link w:val="828"/>
    <w:uiPriority w:val="30"/>
    <w:pPr>
      <w:pBdr/>
      <w:spacing/>
      <w:ind/>
    </w:pPr>
    <w:rPr>
      <w:i/>
      <w:iCs/>
      <w:color w:val="5b9bd5"/>
      <w:lang w:eastAsia="zh-CN"/>
    </w:rPr>
  </w:style>
  <w:style w:type="character" w:styleId="1086">
    <w:name w:val="Referência Intensa1"/>
    <w:next w:val="1086"/>
    <w:link w:val="828"/>
    <w:uiPriority w:val="32"/>
    <w:qFormat/>
    <w:pPr>
      <w:pBdr/>
      <w:spacing/>
      <w:ind/>
    </w:pPr>
    <w:rPr>
      <w:b/>
      <w:bCs/>
      <w:smallCaps/>
      <w:color w:val="2f5496"/>
      <w:spacing w:val="5"/>
    </w:rPr>
  </w:style>
  <w:style w:type="character" w:styleId="1087">
    <w:name w:val="Link da Internet"/>
    <w:next w:val="1087"/>
    <w:link w:val="828"/>
    <w:uiPriority w:val="99"/>
    <w:unhideWhenUsed/>
    <w:qFormat/>
    <w:pPr>
      <w:pBdr/>
      <w:spacing/>
      <w:ind/>
    </w:pPr>
    <w:rPr>
      <w:color w:val="0563c1"/>
      <w:u w:val="single"/>
    </w:rPr>
  </w:style>
  <w:style w:type="character" w:styleId="1088">
    <w:name w:val="Unresolved Mention"/>
    <w:next w:val="1088"/>
    <w:link w:val="828"/>
    <w:uiPriority w:val="99"/>
    <w:semiHidden/>
    <w:unhideWhenUsed/>
    <w:qFormat/>
    <w:pPr>
      <w:pBdr/>
      <w:spacing/>
      <w:ind/>
    </w:pPr>
    <w:rPr>
      <w:color w:val="605e5c"/>
      <w:shd w:val="clear" w:color="auto" w:fill="e1dfdd"/>
    </w:rPr>
  </w:style>
  <w:style w:type="paragraph" w:styleId="1089">
    <w:name w:val="Revisão1"/>
    <w:next w:val="1089"/>
    <w:link w:val="828"/>
    <w:uiPriority w:val="99"/>
    <w:semiHidden/>
    <w:qFormat/>
    <w:pPr>
      <w:pBdr/>
      <w:spacing/>
      <w:ind/>
    </w:pPr>
    <w:rPr>
      <w:rFonts w:ascii="Arial" w:hAnsi="Arial" w:eastAsia="Arial" w:cs="Arial"/>
      <w:sz w:val="22"/>
      <w:szCs w:val="22"/>
      <w:lang w:val="pt-PT" w:eastAsia="en-US" w:bidi="ar-SA"/>
    </w:rPr>
  </w:style>
  <w:style w:type="paragraph" w:styleId="1090">
    <w:name w:val="Conteúdo do quadro"/>
    <w:basedOn w:val="828"/>
    <w:next w:val="1090"/>
    <w:link w:val="828"/>
    <w:qFormat/>
    <w:pPr>
      <w:widowControl w:val="false"/>
      <w:pBdr/>
      <w:spacing/>
      <w:ind/>
    </w:pPr>
    <w:rPr>
      <w:rFonts w:ascii="Arial" w:hAnsi="Arial" w:eastAsia="Arial" w:cs="Arial"/>
      <w:sz w:val="22"/>
      <w:szCs w:val="22"/>
      <w:lang w:val="pt-PT" w:eastAsia="en-US"/>
    </w:rPr>
  </w:style>
  <w:style w:type="paragraph" w:styleId="1091">
    <w:name w:val="Bloco de citação"/>
    <w:basedOn w:val="828"/>
    <w:next w:val="1091"/>
    <w:link w:val="828"/>
    <w:qFormat/>
    <w:pPr>
      <w:widowControl w:val="false"/>
      <w:pBdr/>
      <w:spacing w:after="283"/>
      <w:ind w:right="567" w:left="567"/>
    </w:pPr>
    <w:rPr>
      <w:rFonts w:ascii="Arial" w:hAnsi="Arial" w:eastAsia="Arial" w:cs="Arial"/>
      <w:sz w:val="22"/>
      <w:szCs w:val="22"/>
      <w:lang w:val="pt-PT" w:eastAsia="en-US"/>
    </w:rPr>
  </w:style>
  <w:style w:type="paragraph" w:styleId="1092">
    <w:name w:val="Figura"/>
    <w:basedOn w:val="963"/>
    <w:next w:val="1092"/>
    <w:link w:val="828"/>
    <w:qFormat/>
    <w:pPr>
      <w:widowControl w:val="false"/>
      <w:pBdr/>
      <w:spacing/>
      <w:ind/>
    </w:pPr>
    <w:rPr>
      <w:rFonts w:ascii="Arial" w:hAnsi="Arial" w:eastAsia="Arial"/>
      <w:lang w:val="pt-PT" w:eastAsia="en-US"/>
    </w:rPr>
  </w:style>
  <w:style w:type="table" w:styleId="1093">
    <w:name w:val="_Style 61"/>
    <w:basedOn w:val="1081"/>
    <w:next w:val="1093"/>
    <w:link w:val="828"/>
    <w:qFormat/>
    <w:pPr>
      <w:pBdr/>
      <w:spacing/>
      <w:ind/>
    </w:pPr>
    <w:tblPr>
      <w:tblW w:w="0" w:type="auto"/>
      <w:tblCellMar>
        <w:left w:w="108" w:type="dxa"/>
        <w:right w:w="108"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name w:val="_Style 62"/>
    <w:basedOn w:val="1081"/>
    <w:next w:val="1094"/>
    <w:link w:val="828"/>
    <w:qFormat/>
    <w:pPr>
      <w:pBdr/>
      <w:spacing/>
      <w:ind/>
    </w:pPr>
    <w:tblPr>
      <w:tblW w:w="0" w:type="auto"/>
      <w:tblCellMar>
        <w:left w:w="108" w:type="dxa"/>
        <w:right w:w="108"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95">
    <w:name w:val="LO-normal1"/>
    <w:next w:val="1095"/>
    <w:link w:val="828"/>
    <w:qFormat/>
    <w:pPr>
      <w:pBdr/>
      <w:spacing/>
      <w:ind/>
    </w:pPr>
    <w:rPr>
      <w:rFonts w:eastAsia="NSimSun" w:cs="Lucida Sans"/>
      <w:sz w:val="24"/>
      <w:szCs w:val="24"/>
      <w:lang w:val="pt-BR" w:eastAsia="zh-CN" w:bidi="hi-IN"/>
    </w:rPr>
  </w:style>
  <w:style w:type="paragraph" w:styleId="1096">
    <w:name w:val="Nivel1"/>
    <w:basedOn w:val="829"/>
    <w:next w:val="1096"/>
    <w:link w:val="828"/>
    <w:qFormat/>
    <w:pPr>
      <w:keepLines w:val="true"/>
      <w:widowControl w:val="false"/>
      <w:numPr>
        <w:ilvl w:val="0"/>
        <w:numId w:val="0"/>
      </w:numPr>
      <w:pBdr/>
      <w:spacing w:after="80" w:before="480" w:line="276" w:lineRule="auto"/>
      <w:ind w:hanging="360" w:left="644"/>
      <w:jc w:val="both"/>
    </w:pPr>
    <w:rPr>
      <w:rFonts w:eastAsia="SimHei" w:cs="Times New Roman"/>
      <w:bCs w:val="0"/>
      <w:color w:val="000000"/>
      <w:sz w:val="20"/>
      <w:szCs w:val="20"/>
      <w:lang w:val="pt-PT" w:eastAsia="en-US"/>
    </w:rPr>
  </w:style>
  <w:style w:type="character" w:styleId="1097">
    <w:name w:val="Hyperlink1"/>
    <w:next w:val="1097"/>
    <w:link w:val="828"/>
    <w:unhideWhenUsed/>
    <w:qFormat/>
    <w:pPr>
      <w:pBdr/>
      <w:spacing/>
      <w:ind/>
    </w:pPr>
    <w:rPr>
      <w:color w:val="0000ff"/>
      <w:u w:val="single"/>
    </w:rPr>
  </w:style>
  <w:style w:type="character" w:styleId="1098">
    <w:name w:val="Fonte parág. padrão11"/>
    <w:next w:val="1098"/>
    <w:link w:val="828"/>
    <w:qFormat/>
    <w:pPr>
      <w:pBdr/>
      <w:spacing/>
      <w:ind/>
    </w:pPr>
  </w:style>
  <w:style w:type="paragraph" w:styleId="1099">
    <w:name w:val="Normal (Web)1"/>
    <w:next w:val="1099"/>
    <w:link w:val="828"/>
    <w:uiPriority w:val="7"/>
    <w:qFormat/>
    <w:pPr>
      <w:pBdr/>
      <w:spacing w:after="280" w:before="280"/>
      <w:ind/>
    </w:pPr>
    <w:rPr>
      <w:rFonts w:eastAsia="SimSun"/>
      <w:color w:val="000000"/>
      <w:szCs w:val="24"/>
      <w:lang w:val="en-US" w:eastAsia="zh-CN" w:bidi="ar-SA"/>
    </w:rPr>
  </w:style>
  <w:style w:type="paragraph" w:styleId="1100">
    <w:name w:val="Texto de comentário"/>
    <w:basedOn w:val="828"/>
    <w:next w:val="1100"/>
    <w:link w:val="916"/>
    <w:uiPriority w:val="99"/>
    <w:semiHidden/>
    <w:unhideWhenUsed/>
    <w:qFormat/>
    <w:pPr>
      <w:widowControl w:val="false"/>
      <w:pBdr/>
      <w:spacing/>
      <w:ind/>
    </w:pPr>
    <w:rPr>
      <w:rFonts w:ascii="Ecofont_Spranq_eco_Sans" w:hAnsi="Ecofont_Spranq_eco_Sans" w:eastAsia="MS Mincho" w:cs="Tahoma"/>
      <w:lang w:eastAsia="pt-BR"/>
    </w:rPr>
  </w:style>
  <w:style w:type="character" w:styleId="1101">
    <w:name w:val="Texto de comentário Char1"/>
    <w:next w:val="1101"/>
    <w:link w:val="828"/>
    <w:uiPriority w:val="99"/>
    <w:semiHidden/>
    <w:pPr>
      <w:pBdr/>
      <w:spacing/>
      <w:ind/>
    </w:pPr>
    <w:rPr>
      <w:lang w:eastAsia="zh-CN"/>
    </w:rPr>
  </w:style>
  <w:style w:type="paragraph" w:styleId="1102">
    <w:name w:val="Título11"/>
    <w:basedOn w:val="828"/>
    <w:next w:val="961"/>
    <w:link w:val="828"/>
    <w:qFormat/>
    <w:pPr>
      <w:keepNext w:val="true"/>
      <w:widowControl w:val="false"/>
      <w:pBdr/>
      <w:spacing w:after="120" w:before="240"/>
      <w:ind/>
    </w:pPr>
    <w:rPr>
      <w:rFonts w:ascii="Liberation Sans" w:hAnsi="Liberation Sans" w:eastAsia="Microsoft YaHei" w:cs="Arial"/>
      <w:sz w:val="28"/>
      <w:szCs w:val="28"/>
      <w:lang w:val="pt-PT" w:eastAsia="en-US"/>
    </w:rPr>
  </w:style>
  <w:style w:type="paragraph" w:styleId="1103">
    <w:name w:val="Parágrafo_Parecer"/>
    <w:basedOn w:val="981"/>
    <w:next w:val="1103"/>
    <w:link w:val="828"/>
    <w:qFormat/>
    <w:pPr>
      <w:numPr>
        <w:ilvl w:val="0"/>
        <w:numId w:val="6"/>
      </w:numPr>
      <w:pBdr/>
      <w:tabs>
        <w:tab w:val="left" w:leader="none" w:pos="1418"/>
      </w:tabs>
      <w:spacing/>
      <w:ind w:firstLine="0" w:left="0"/>
      <w:contextualSpacing w:val="false"/>
    </w:pPr>
    <w:rPr>
      <w:rFonts w:ascii="Times New Roman" w:hAnsi="Times New Roman" w:eastAsia="Verdana" w:cs="Verdana"/>
      <w:szCs w:val="20"/>
      <w:lang w:eastAsia="ar-SA" w:bidi="hi-IN"/>
    </w:rPr>
  </w:style>
  <w:style w:type="character" w:styleId="1104">
    <w:name w:val="Ref. de comentário"/>
    <w:next w:val="1104"/>
    <w:link w:val="828"/>
    <w:uiPriority w:val="99"/>
    <w:semiHidden/>
    <w:unhideWhenUsed/>
    <w:qFormat/>
    <w:pPr>
      <w:pBdr/>
      <w:spacing/>
      <w:ind/>
    </w:pPr>
    <w:rPr>
      <w:sz w:val="16"/>
      <w:szCs w:val="16"/>
    </w:rPr>
  </w:style>
  <w:style w:type="character" w:styleId="1105">
    <w:name w:val="Citação Char1"/>
    <w:next w:val="1105"/>
    <w:link w:val="828"/>
    <w:uiPriority w:val="29"/>
    <w:pPr>
      <w:pBdr/>
      <w:spacing/>
      <w:ind/>
    </w:pPr>
    <w:rPr>
      <w:rFonts w:ascii="Arial" w:hAnsi="Arial" w:eastAsia="Arial" w:cs="Arial"/>
      <w:i/>
      <w:iCs/>
      <w:color w:val="404040"/>
      <w:sz w:val="22"/>
      <w:szCs w:val="22"/>
      <w:lang w:val="pt-PT" w:eastAsia="en-US"/>
    </w:rPr>
  </w:style>
  <w:style w:type="character" w:styleId="1106">
    <w:name w:val="Menção Pendente1"/>
    <w:next w:val="1106"/>
    <w:link w:val="828"/>
    <w:uiPriority w:val="99"/>
    <w:semiHidden/>
    <w:qFormat/>
    <w:pPr>
      <w:pBdr/>
      <w:spacing/>
      <w:ind/>
    </w:pPr>
    <w:rPr>
      <w:color w:val="605e5c"/>
      <w:shd w:val="clear" w:color="auto" w:fill="e1dfdd"/>
    </w:rPr>
  </w:style>
  <w:style w:type="character" w:styleId="1107">
    <w:name w:val="Strong1"/>
    <w:next w:val="1107"/>
    <w:link w:val="828"/>
    <w:qFormat/>
    <w:pPr>
      <w:pBdr/>
      <w:spacing/>
      <w:ind/>
    </w:pPr>
    <w:rPr>
      <w:b/>
      <w:bCs/>
    </w:rPr>
  </w:style>
  <w:style w:type="character" w:styleId="1108">
    <w:name w:val="readonlyattribute"/>
    <w:next w:val="1108"/>
    <w:link w:val="828"/>
    <w:qFormat/>
    <w:pPr>
      <w:pBdr/>
      <w:spacing/>
      <w:ind/>
    </w:pPr>
  </w:style>
  <w:style w:type="character" w:styleId="1109">
    <w:name w:val="whitespace-normal"/>
    <w:next w:val="1109"/>
    <w:link w:val="828"/>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ONLYOFFICE/9.2.1.43</Application>
  <DocSecurity>0</DocSecurity>
  <ScaleCrop>0</ScaleCrop>
  <HeadingPairs>
    <vt:vector size="0" baseType="variant"/>
  </HeadingPairs>
  <TitlesOfParts>
    <vt:vector size="0" baseType="lpstr"/>
  </TitlesOfParts>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creator>silvia.bonjour</dc:creator>
  <cp:revision>17</cp:revision>
  <dcterms:created xsi:type="dcterms:W3CDTF">2026-04-14T14:38:00Z</dcterms:created>
  <dcterms:modified xsi:type="dcterms:W3CDTF">2026-04-29T14:55:08Z</dcterms:modified>
  <cp:version>1048576</cp:version>
</cp:coreProperties>
</file>